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46774" w14:textId="77777777" w:rsidR="00A868E1" w:rsidRDefault="00E360CB" w:rsidP="002F6648">
      <w:pPr>
        <w:pStyle w:val="Heading1"/>
        <w:tabs>
          <w:tab w:val="left" w:pos="6675"/>
        </w:tabs>
        <w:ind w:left="-2160" w:firstLine="180"/>
      </w:pPr>
      <w:bookmarkStart w:id="0" w:name="_GoBack"/>
      <w:bookmarkEnd w:id="0"/>
      <w:r>
        <w:rPr>
          <w:sz w:val="24"/>
        </w:rPr>
        <w:t>Issue</w:t>
      </w:r>
      <w:r w:rsidR="00D0530D">
        <w:rPr>
          <w:sz w:val="24"/>
        </w:rPr>
        <w:tab/>
      </w:r>
    </w:p>
    <w:p w14:paraId="4EB46775" w14:textId="5EDF2668" w:rsidR="00564E9E" w:rsidRDefault="00E17AAF" w:rsidP="00E17AAF">
      <w:pPr>
        <w:pStyle w:val="Heading1"/>
        <w:tabs>
          <w:tab w:val="left" w:pos="6675"/>
        </w:tabs>
        <w:ind w:left="-810"/>
        <w:rPr>
          <w:rFonts w:ascii="Garamond" w:hAnsi="Garamond"/>
          <w:bCs w:val="0"/>
          <w:color w:val="auto"/>
          <w:kern w:val="0"/>
          <w:sz w:val="24"/>
          <w:szCs w:val="20"/>
        </w:rPr>
      </w:pPr>
      <w:r>
        <w:rPr>
          <w:rFonts w:ascii="Garamond" w:hAnsi="Garamond"/>
          <w:bCs w:val="0"/>
          <w:color w:val="auto"/>
          <w:kern w:val="0"/>
          <w:sz w:val="24"/>
          <w:szCs w:val="20"/>
        </w:rPr>
        <w:t>Treatment of credit card transactions varies among the Services with some organizations recording transactions as cash and other organizations recording tran</w:t>
      </w:r>
      <w:r w:rsidR="00841891">
        <w:rPr>
          <w:rFonts w:ascii="Garamond" w:hAnsi="Garamond"/>
          <w:bCs w:val="0"/>
          <w:color w:val="auto"/>
          <w:kern w:val="0"/>
          <w:sz w:val="24"/>
          <w:szCs w:val="20"/>
        </w:rPr>
        <w:t>sactions as a type of receivable</w:t>
      </w:r>
      <w:r>
        <w:rPr>
          <w:rFonts w:ascii="Garamond" w:hAnsi="Garamond"/>
          <w:bCs w:val="0"/>
          <w:color w:val="auto"/>
          <w:kern w:val="0"/>
          <w:sz w:val="24"/>
          <w:szCs w:val="20"/>
        </w:rPr>
        <w:t xml:space="preserve">. </w:t>
      </w:r>
      <w:r w:rsidR="00564E9E">
        <w:rPr>
          <w:rFonts w:ascii="Garamond" w:hAnsi="Garamond"/>
          <w:bCs w:val="0"/>
          <w:color w:val="auto"/>
          <w:kern w:val="0"/>
          <w:sz w:val="24"/>
          <w:szCs w:val="20"/>
        </w:rPr>
        <w:t xml:space="preserve"> </w:t>
      </w:r>
    </w:p>
    <w:p w14:paraId="4EB46776" w14:textId="77777777" w:rsidR="00586697" w:rsidRDefault="00586697" w:rsidP="00586697">
      <w:pPr>
        <w:pStyle w:val="Heading1"/>
        <w:tabs>
          <w:tab w:val="left" w:pos="6675"/>
        </w:tabs>
        <w:ind w:left="-1710"/>
        <w:rPr>
          <w:rFonts w:ascii="Garamond" w:hAnsi="Garamond"/>
          <w:bCs w:val="0"/>
          <w:color w:val="auto"/>
          <w:kern w:val="0"/>
          <w:sz w:val="24"/>
          <w:szCs w:val="20"/>
        </w:rPr>
      </w:pPr>
    </w:p>
    <w:p w14:paraId="4EB46777" w14:textId="77777777" w:rsidR="002479EF" w:rsidRDefault="002479EF" w:rsidP="00586697">
      <w:pPr>
        <w:pStyle w:val="Heading1"/>
        <w:tabs>
          <w:tab w:val="left" w:pos="6675"/>
        </w:tabs>
        <w:ind w:left="-1980"/>
        <w:rPr>
          <w:sz w:val="24"/>
        </w:rPr>
      </w:pPr>
      <w:r>
        <w:rPr>
          <w:sz w:val="24"/>
        </w:rPr>
        <w:t>Research</w:t>
      </w:r>
    </w:p>
    <w:p w14:paraId="4EB46779" w14:textId="42890BF1" w:rsidR="00ED6A35" w:rsidRDefault="002479EF" w:rsidP="002479EF">
      <w:pPr>
        <w:ind w:left="-810"/>
        <w:rPr>
          <w:sz w:val="24"/>
        </w:rPr>
      </w:pPr>
      <w:r>
        <w:rPr>
          <w:sz w:val="24"/>
        </w:rPr>
        <w:t xml:space="preserve">Below outlines the </w:t>
      </w:r>
      <w:r w:rsidR="0082463C">
        <w:rPr>
          <w:sz w:val="24"/>
        </w:rPr>
        <w:t xml:space="preserve">current treatment </w:t>
      </w:r>
      <w:r w:rsidR="000C2E9A">
        <w:rPr>
          <w:sz w:val="24"/>
        </w:rPr>
        <w:t xml:space="preserve">on </w:t>
      </w:r>
      <w:r w:rsidR="0082463C">
        <w:rPr>
          <w:sz w:val="24"/>
        </w:rPr>
        <w:t>how</w:t>
      </w:r>
      <w:r>
        <w:rPr>
          <w:sz w:val="24"/>
        </w:rPr>
        <w:t xml:space="preserve"> each service complies and what the regulations, accounting guidance and industry standards are for this area. </w:t>
      </w:r>
    </w:p>
    <w:tbl>
      <w:tblPr>
        <w:tblStyle w:val="LightGrid"/>
        <w:tblpPr w:leftFromText="180" w:rightFromText="180" w:vertAnchor="text" w:horzAnchor="page" w:tblpXSpec="center" w:tblpY="151"/>
        <w:tblW w:w="14670" w:type="dxa"/>
        <w:jc w:val="center"/>
        <w:tblLayout w:type="fixed"/>
        <w:tblLook w:val="04A0" w:firstRow="1" w:lastRow="0" w:firstColumn="1" w:lastColumn="0" w:noHBand="0" w:noVBand="1"/>
      </w:tblPr>
      <w:tblGrid>
        <w:gridCol w:w="7550"/>
        <w:gridCol w:w="1620"/>
        <w:gridCol w:w="1800"/>
        <w:gridCol w:w="1890"/>
        <w:gridCol w:w="1810"/>
      </w:tblGrid>
      <w:tr w:rsidR="00BB5F9B" w:rsidRPr="00655FDE" w14:paraId="4EB4677F" w14:textId="77777777" w:rsidTr="003E027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550" w:type="dxa"/>
            <w:shd w:val="clear" w:color="auto" w:fill="000000" w:themeFill="text1"/>
            <w:vAlign w:val="center"/>
          </w:tcPr>
          <w:p w14:paraId="4EB4677A" w14:textId="3F3A57DA" w:rsidR="00BB5F9B" w:rsidRPr="00D952E5" w:rsidRDefault="00586697" w:rsidP="00852416">
            <w:pPr>
              <w:jc w:val="center"/>
              <w:rPr>
                <w:sz w:val="26"/>
                <w:szCs w:val="26"/>
              </w:rPr>
            </w:pPr>
            <w:r>
              <w:rPr>
                <w:sz w:val="26"/>
                <w:szCs w:val="26"/>
              </w:rPr>
              <w:t xml:space="preserve">Credit Card Processing </w:t>
            </w:r>
            <w:r w:rsidR="00C460F9">
              <w:rPr>
                <w:sz w:val="26"/>
                <w:szCs w:val="26"/>
              </w:rPr>
              <w:t xml:space="preserve">Treatment and </w:t>
            </w:r>
            <w:r>
              <w:rPr>
                <w:sz w:val="26"/>
                <w:szCs w:val="26"/>
              </w:rPr>
              <w:t>Guidelines</w:t>
            </w:r>
          </w:p>
        </w:tc>
        <w:tc>
          <w:tcPr>
            <w:tcW w:w="1620" w:type="dxa"/>
            <w:shd w:val="clear" w:color="auto" w:fill="000000" w:themeFill="text1"/>
            <w:vAlign w:val="center"/>
          </w:tcPr>
          <w:p w14:paraId="4EB4677B"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Air Force</w:t>
            </w:r>
          </w:p>
        </w:tc>
        <w:tc>
          <w:tcPr>
            <w:tcW w:w="1800" w:type="dxa"/>
            <w:shd w:val="clear" w:color="auto" w:fill="000000" w:themeFill="text1"/>
            <w:vAlign w:val="center"/>
          </w:tcPr>
          <w:p w14:paraId="4EB4677C"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Army</w:t>
            </w:r>
          </w:p>
        </w:tc>
        <w:tc>
          <w:tcPr>
            <w:tcW w:w="1890" w:type="dxa"/>
            <w:shd w:val="clear" w:color="auto" w:fill="000000" w:themeFill="text1"/>
            <w:vAlign w:val="center"/>
          </w:tcPr>
          <w:p w14:paraId="4EB4677D"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Navy</w:t>
            </w:r>
          </w:p>
        </w:tc>
        <w:tc>
          <w:tcPr>
            <w:tcW w:w="1810" w:type="dxa"/>
            <w:shd w:val="clear" w:color="auto" w:fill="000000" w:themeFill="text1"/>
            <w:vAlign w:val="center"/>
          </w:tcPr>
          <w:p w14:paraId="4EB4677E" w14:textId="77777777" w:rsidR="00BB5F9B" w:rsidRPr="00D952E5" w:rsidRDefault="00BB5F9B" w:rsidP="00BA2305">
            <w:pPr>
              <w:jc w:val="center"/>
              <w:cnfStyle w:val="100000000000" w:firstRow="1" w:lastRow="0" w:firstColumn="0" w:lastColumn="0" w:oddVBand="0" w:evenVBand="0" w:oddHBand="0" w:evenHBand="0" w:firstRowFirstColumn="0" w:firstRowLastColumn="0" w:lastRowFirstColumn="0" w:lastRowLastColumn="0"/>
              <w:rPr>
                <w:sz w:val="26"/>
                <w:szCs w:val="26"/>
              </w:rPr>
            </w:pPr>
            <w:r w:rsidRPr="00D952E5">
              <w:rPr>
                <w:sz w:val="26"/>
                <w:szCs w:val="26"/>
              </w:rPr>
              <w:t>Marines</w:t>
            </w:r>
          </w:p>
        </w:tc>
      </w:tr>
      <w:tr w:rsidR="00F05EBE" w:rsidRPr="00655FDE" w14:paraId="4EB46785"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EB46780" w14:textId="35C6C92C" w:rsidR="00F05EBE" w:rsidRPr="000B436F" w:rsidRDefault="00F05EBE" w:rsidP="00586697">
            <w:pPr>
              <w:rPr>
                <w:sz w:val="24"/>
                <w:szCs w:val="24"/>
              </w:rPr>
            </w:pPr>
            <w:r w:rsidRPr="000B436F">
              <w:rPr>
                <w:sz w:val="24"/>
                <w:szCs w:val="24"/>
              </w:rPr>
              <w:t xml:space="preserve">Classification </w:t>
            </w:r>
            <w:r w:rsidR="00586697" w:rsidRPr="000B436F">
              <w:rPr>
                <w:sz w:val="24"/>
                <w:szCs w:val="24"/>
              </w:rPr>
              <w:t>of credit card receivables</w:t>
            </w:r>
            <w:r w:rsidR="003D05EE" w:rsidRPr="000B436F">
              <w:rPr>
                <w:sz w:val="24"/>
                <w:szCs w:val="24"/>
              </w:rPr>
              <w:t xml:space="preserve"> as receivable or cash</w:t>
            </w:r>
          </w:p>
        </w:tc>
        <w:tc>
          <w:tcPr>
            <w:tcW w:w="1620" w:type="dxa"/>
          </w:tcPr>
          <w:p w14:paraId="4EB46781" w14:textId="77777777" w:rsidR="00F05EBE" w:rsidRPr="000B436F" w:rsidRDefault="00AC54D9" w:rsidP="00F05EBE">
            <w:pPr>
              <w:cnfStyle w:val="000000100000" w:firstRow="0" w:lastRow="0" w:firstColumn="0" w:lastColumn="0" w:oddVBand="0" w:evenVBand="0" w:oddHBand="1" w:evenHBand="0" w:firstRowFirstColumn="0" w:firstRowLastColumn="0" w:lastRowFirstColumn="0" w:lastRowLastColumn="0"/>
              <w:rPr>
                <w:sz w:val="24"/>
                <w:szCs w:val="24"/>
              </w:rPr>
            </w:pPr>
            <w:r w:rsidRPr="000B436F">
              <w:rPr>
                <w:sz w:val="24"/>
                <w:szCs w:val="24"/>
              </w:rPr>
              <w:t>Receivable</w:t>
            </w:r>
          </w:p>
        </w:tc>
        <w:tc>
          <w:tcPr>
            <w:tcW w:w="1800" w:type="dxa"/>
          </w:tcPr>
          <w:p w14:paraId="4EB46782" w14:textId="29012A8A" w:rsidR="00F05EBE" w:rsidRPr="000B436F" w:rsidRDefault="003D05EE" w:rsidP="003D05EE">
            <w:pPr>
              <w:cnfStyle w:val="000000100000" w:firstRow="0" w:lastRow="0" w:firstColumn="0" w:lastColumn="0" w:oddVBand="0" w:evenVBand="0" w:oddHBand="1" w:evenHBand="0" w:firstRowFirstColumn="0" w:firstRowLastColumn="0" w:lastRowFirstColumn="0" w:lastRowLastColumn="0"/>
              <w:rPr>
                <w:sz w:val="24"/>
                <w:szCs w:val="24"/>
              </w:rPr>
            </w:pPr>
            <w:r w:rsidRPr="000B436F">
              <w:rPr>
                <w:sz w:val="24"/>
                <w:szCs w:val="24"/>
              </w:rPr>
              <w:t>Both</w:t>
            </w:r>
          </w:p>
        </w:tc>
        <w:tc>
          <w:tcPr>
            <w:tcW w:w="1890" w:type="dxa"/>
          </w:tcPr>
          <w:p w14:paraId="4EB46783" w14:textId="5626C525" w:rsidR="00F05EBE" w:rsidRPr="000B436F" w:rsidRDefault="00BF37CB" w:rsidP="00F05EBE">
            <w:pPr>
              <w:cnfStyle w:val="000000100000" w:firstRow="0" w:lastRow="0" w:firstColumn="0" w:lastColumn="0" w:oddVBand="0" w:evenVBand="0" w:oddHBand="1" w:evenHBand="0" w:firstRowFirstColumn="0" w:firstRowLastColumn="0" w:lastRowFirstColumn="0" w:lastRowLastColumn="0"/>
              <w:rPr>
                <w:sz w:val="24"/>
                <w:szCs w:val="24"/>
              </w:rPr>
            </w:pPr>
            <w:r w:rsidRPr="000B436F">
              <w:rPr>
                <w:sz w:val="24"/>
                <w:szCs w:val="24"/>
              </w:rPr>
              <w:t>Cash</w:t>
            </w:r>
          </w:p>
        </w:tc>
        <w:tc>
          <w:tcPr>
            <w:tcW w:w="1810" w:type="dxa"/>
          </w:tcPr>
          <w:p w14:paraId="4EB46784" w14:textId="77777777" w:rsidR="00F05EBE" w:rsidRPr="000B436F" w:rsidRDefault="001F06DE" w:rsidP="00F05EBE">
            <w:pPr>
              <w:cnfStyle w:val="000000100000" w:firstRow="0" w:lastRow="0" w:firstColumn="0" w:lastColumn="0" w:oddVBand="0" w:evenVBand="0" w:oddHBand="1" w:evenHBand="0" w:firstRowFirstColumn="0" w:firstRowLastColumn="0" w:lastRowFirstColumn="0" w:lastRowLastColumn="0"/>
              <w:rPr>
                <w:sz w:val="24"/>
                <w:szCs w:val="24"/>
              </w:rPr>
            </w:pPr>
            <w:r w:rsidRPr="000B436F">
              <w:rPr>
                <w:sz w:val="24"/>
                <w:szCs w:val="24"/>
              </w:rPr>
              <w:t>Receivable</w:t>
            </w:r>
          </w:p>
        </w:tc>
      </w:tr>
      <w:tr w:rsidR="002453C4" w:rsidRPr="00655FDE" w14:paraId="4EB4678B"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EB46786" w14:textId="77777777" w:rsidR="002453C4" w:rsidRPr="000B436F" w:rsidRDefault="002453C4" w:rsidP="002453C4">
            <w:pPr>
              <w:autoSpaceDE w:val="0"/>
              <w:autoSpaceDN w:val="0"/>
              <w:adjustRightInd w:val="0"/>
              <w:rPr>
                <w:rFonts w:asciiTheme="minorHAnsi" w:hAnsiTheme="minorHAnsi"/>
                <w:b w:val="0"/>
                <w:sz w:val="24"/>
                <w:szCs w:val="24"/>
              </w:rPr>
            </w:pPr>
            <w:r w:rsidRPr="000B436F">
              <w:rPr>
                <w:rFonts w:asciiTheme="minorHAnsi" w:hAnsiTheme="minorHAnsi"/>
                <w:sz w:val="24"/>
                <w:szCs w:val="24"/>
              </w:rPr>
              <w:t>DoDI 1015.15</w:t>
            </w:r>
            <w:r w:rsidRPr="000B436F">
              <w:rPr>
                <w:rFonts w:asciiTheme="minorHAnsi" w:hAnsiTheme="minorHAnsi" w:cs="Times New Roman"/>
                <w:sz w:val="24"/>
                <w:szCs w:val="24"/>
              </w:rPr>
              <w:t xml:space="preserve">, 6.9 Receivables: </w:t>
            </w:r>
            <w:r w:rsidRPr="000B436F">
              <w:rPr>
                <w:sz w:val="24"/>
                <w:szCs w:val="24"/>
              </w:rPr>
              <w:t xml:space="preserve"> </w:t>
            </w:r>
            <w:r w:rsidRPr="000B436F">
              <w:rPr>
                <w:rFonts w:asciiTheme="minorHAnsi" w:hAnsiTheme="minorHAnsi" w:cs="Times New Roman"/>
                <w:b w:val="0"/>
                <w:sz w:val="24"/>
                <w:szCs w:val="24"/>
              </w:rPr>
              <w:t>NAFIs may sell merchandise or services to authorized customers on credit through NAFI credit systems, merchants’ agreements with credit card processors, and/or negotiated universal commercial credit contracts.</w:t>
            </w:r>
          </w:p>
        </w:tc>
        <w:tc>
          <w:tcPr>
            <w:tcW w:w="1620" w:type="dxa"/>
          </w:tcPr>
          <w:p w14:paraId="4EB46787" w14:textId="77777777" w:rsidR="002453C4" w:rsidRPr="000B436F" w:rsidRDefault="002453C4" w:rsidP="002453C4">
            <w:pPr>
              <w:cnfStyle w:val="000000010000" w:firstRow="0" w:lastRow="0" w:firstColumn="0" w:lastColumn="0" w:oddVBand="0" w:evenVBand="0" w:oddHBand="0" w:evenHBand="1" w:firstRowFirstColumn="0" w:firstRowLastColumn="0" w:lastRowFirstColumn="0" w:lastRowLastColumn="0"/>
              <w:rPr>
                <w:sz w:val="24"/>
                <w:szCs w:val="24"/>
              </w:rPr>
            </w:pPr>
            <w:r w:rsidRPr="000B436F">
              <w:rPr>
                <w:rFonts w:asciiTheme="minorHAnsi" w:hAnsiTheme="minorHAnsi"/>
                <w:sz w:val="24"/>
                <w:szCs w:val="24"/>
              </w:rPr>
              <w:t>Follows Alternative Guidance</w:t>
            </w:r>
          </w:p>
        </w:tc>
        <w:tc>
          <w:tcPr>
            <w:tcW w:w="1800" w:type="dxa"/>
          </w:tcPr>
          <w:p w14:paraId="4EB46788" w14:textId="77777777" w:rsidR="002453C4" w:rsidRPr="000B436F" w:rsidRDefault="002453C4" w:rsidP="002453C4">
            <w:pPr>
              <w:cnfStyle w:val="000000010000" w:firstRow="0" w:lastRow="0" w:firstColumn="0" w:lastColumn="0" w:oddVBand="0" w:evenVBand="0" w:oddHBand="0" w:evenHBand="1" w:firstRowFirstColumn="0" w:firstRowLastColumn="0" w:lastRowFirstColumn="0" w:lastRowLastColumn="0"/>
              <w:rPr>
                <w:sz w:val="24"/>
                <w:szCs w:val="24"/>
              </w:rPr>
            </w:pPr>
            <w:r w:rsidRPr="000B436F">
              <w:rPr>
                <w:rFonts w:asciiTheme="minorHAnsi" w:hAnsiTheme="minorHAnsi"/>
                <w:sz w:val="24"/>
                <w:szCs w:val="24"/>
              </w:rPr>
              <w:t>Follows Alternative Guidance</w:t>
            </w:r>
          </w:p>
        </w:tc>
        <w:tc>
          <w:tcPr>
            <w:tcW w:w="1890" w:type="dxa"/>
          </w:tcPr>
          <w:p w14:paraId="6661510A" w14:textId="77777777" w:rsidR="00BE3BAC" w:rsidRPr="000B436F" w:rsidRDefault="002453C4" w:rsidP="002453C4">
            <w:pPr>
              <w:cnfStyle w:val="000000010000" w:firstRow="0" w:lastRow="0" w:firstColumn="0" w:lastColumn="0" w:oddVBand="0" w:evenVBand="0" w:oddHBand="0" w:evenHBand="1" w:firstRowFirstColumn="0" w:firstRowLastColumn="0" w:lastRowFirstColumn="0" w:lastRowLastColumn="0"/>
              <w:rPr>
                <w:rFonts w:asciiTheme="minorHAnsi" w:hAnsiTheme="minorHAnsi"/>
                <w:sz w:val="24"/>
                <w:szCs w:val="24"/>
              </w:rPr>
            </w:pPr>
            <w:r w:rsidRPr="000B436F">
              <w:rPr>
                <w:rFonts w:asciiTheme="minorHAnsi" w:hAnsiTheme="minorHAnsi"/>
                <w:sz w:val="24"/>
                <w:szCs w:val="24"/>
              </w:rPr>
              <w:t xml:space="preserve">Follows </w:t>
            </w:r>
          </w:p>
          <w:p w14:paraId="4EB46789" w14:textId="3E6ECCFE" w:rsidR="002453C4" w:rsidRPr="000B436F" w:rsidRDefault="002453C4" w:rsidP="002453C4">
            <w:pPr>
              <w:cnfStyle w:val="000000010000" w:firstRow="0" w:lastRow="0" w:firstColumn="0" w:lastColumn="0" w:oddVBand="0" w:evenVBand="0" w:oddHBand="0" w:evenHBand="1" w:firstRowFirstColumn="0" w:firstRowLastColumn="0" w:lastRowFirstColumn="0" w:lastRowLastColumn="0"/>
              <w:rPr>
                <w:sz w:val="24"/>
                <w:szCs w:val="24"/>
              </w:rPr>
            </w:pPr>
            <w:r w:rsidRPr="000B436F">
              <w:rPr>
                <w:rFonts w:asciiTheme="minorHAnsi" w:hAnsiTheme="minorHAnsi"/>
                <w:sz w:val="24"/>
                <w:szCs w:val="24"/>
              </w:rPr>
              <w:t>Alternative Guidance</w:t>
            </w:r>
          </w:p>
        </w:tc>
        <w:tc>
          <w:tcPr>
            <w:tcW w:w="1810" w:type="dxa"/>
          </w:tcPr>
          <w:p w14:paraId="4EB4678A" w14:textId="77777777" w:rsidR="002453C4" w:rsidRPr="000B436F" w:rsidRDefault="002453C4" w:rsidP="002453C4">
            <w:pPr>
              <w:cnfStyle w:val="000000010000" w:firstRow="0" w:lastRow="0" w:firstColumn="0" w:lastColumn="0" w:oddVBand="0" w:evenVBand="0" w:oddHBand="0" w:evenHBand="1" w:firstRowFirstColumn="0" w:firstRowLastColumn="0" w:lastRowFirstColumn="0" w:lastRowLastColumn="0"/>
              <w:rPr>
                <w:sz w:val="24"/>
                <w:szCs w:val="24"/>
              </w:rPr>
            </w:pPr>
            <w:r w:rsidRPr="000B436F">
              <w:rPr>
                <w:rFonts w:asciiTheme="minorHAnsi" w:hAnsiTheme="minorHAnsi"/>
                <w:sz w:val="24"/>
                <w:szCs w:val="24"/>
              </w:rPr>
              <w:t>Follows Alternative Guidance</w:t>
            </w:r>
          </w:p>
        </w:tc>
      </w:tr>
      <w:tr w:rsidR="002453C4" w:rsidRPr="00655FDE" w14:paraId="4EB46793"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EB4678E" w14:textId="623D8BF3" w:rsidR="002453C4" w:rsidRPr="000B436F" w:rsidRDefault="002453C4" w:rsidP="002453C4">
            <w:pPr>
              <w:rPr>
                <w:rFonts w:asciiTheme="minorHAnsi" w:hAnsiTheme="minorHAnsi"/>
                <w:sz w:val="24"/>
                <w:szCs w:val="24"/>
              </w:rPr>
            </w:pPr>
            <w:r w:rsidRPr="000B436F">
              <w:rPr>
                <w:rFonts w:asciiTheme="minorHAnsi" w:hAnsiTheme="minorHAnsi"/>
                <w:sz w:val="24"/>
                <w:szCs w:val="24"/>
              </w:rPr>
              <w:t>FMR</w:t>
            </w:r>
            <w:r w:rsidRPr="000B436F">
              <w:rPr>
                <w:rFonts w:asciiTheme="minorHAnsi" w:hAnsiTheme="minorHAnsi"/>
                <w:bCs w:val="0"/>
                <w:sz w:val="24"/>
                <w:szCs w:val="24"/>
              </w:rPr>
              <w:t xml:space="preserve"> Volume 13, Chapter </w:t>
            </w:r>
            <w:r w:rsidR="00236C06">
              <w:rPr>
                <w:rFonts w:asciiTheme="minorHAnsi" w:hAnsiTheme="minorHAnsi"/>
                <w:bCs w:val="0"/>
                <w:sz w:val="24"/>
                <w:szCs w:val="24"/>
              </w:rPr>
              <w:t>3</w:t>
            </w:r>
            <w:r w:rsidRPr="000B436F">
              <w:rPr>
                <w:rFonts w:asciiTheme="minorHAnsi" w:hAnsiTheme="minorHAnsi"/>
                <w:bCs w:val="0"/>
                <w:sz w:val="24"/>
                <w:szCs w:val="24"/>
              </w:rPr>
              <w:t xml:space="preserve">. </w:t>
            </w:r>
            <w:r w:rsidRPr="000B436F">
              <w:rPr>
                <w:sz w:val="24"/>
                <w:szCs w:val="24"/>
              </w:rPr>
              <w:t>030</w:t>
            </w:r>
            <w:r w:rsidR="006D6D26">
              <w:rPr>
                <w:sz w:val="24"/>
                <w:szCs w:val="24"/>
              </w:rPr>
              <w:t>3</w:t>
            </w:r>
            <w:r w:rsidRPr="000B436F">
              <w:rPr>
                <w:sz w:val="24"/>
                <w:szCs w:val="24"/>
              </w:rPr>
              <w:t>0</w:t>
            </w:r>
            <w:r w:rsidR="006D6D26">
              <w:rPr>
                <w:sz w:val="24"/>
                <w:szCs w:val="24"/>
              </w:rPr>
              <w:t>3</w:t>
            </w:r>
            <w:r w:rsidRPr="000B436F">
              <w:rPr>
                <w:sz w:val="24"/>
                <w:szCs w:val="24"/>
              </w:rPr>
              <w:t xml:space="preserve"> Receivables:  </w:t>
            </w:r>
            <w:r w:rsidRPr="000B436F">
              <w:rPr>
                <w:rFonts w:asciiTheme="minorHAnsi" w:hAnsiTheme="minorHAnsi" w:cs="Times New Roman"/>
                <w:b w:val="0"/>
                <w:sz w:val="24"/>
                <w:szCs w:val="24"/>
              </w:rPr>
              <w:t xml:space="preserve">Receivables are amounts owed to the NAFIs for sales of merchandise, services, or dues.  Receivables may result from amounts owed by employees, members, customers, and organizations for dues, fees, charges, rentals, credit sales, or travel advances.  </w:t>
            </w:r>
            <w:r w:rsidR="006D6D26">
              <w:rPr>
                <w:rFonts w:asciiTheme="minorHAnsi" w:hAnsiTheme="minorHAnsi" w:cs="Times New Roman"/>
                <w:b w:val="0"/>
                <w:sz w:val="24"/>
                <w:szCs w:val="24"/>
              </w:rPr>
              <w:t>Receivable r</w:t>
            </w:r>
            <w:r w:rsidRPr="000B436F">
              <w:rPr>
                <w:rFonts w:asciiTheme="minorHAnsi" w:hAnsiTheme="minorHAnsi" w:cs="Times New Roman"/>
                <w:b w:val="0"/>
                <w:sz w:val="24"/>
                <w:szCs w:val="24"/>
              </w:rPr>
              <w:t xml:space="preserve">ecords are maintained to ensure transactions accurately identify </w:t>
            </w:r>
            <w:r w:rsidR="006D6D26">
              <w:rPr>
                <w:rFonts w:asciiTheme="minorHAnsi" w:hAnsiTheme="minorHAnsi" w:cs="Times New Roman"/>
                <w:b w:val="0"/>
                <w:sz w:val="24"/>
                <w:szCs w:val="24"/>
              </w:rPr>
              <w:t xml:space="preserve">each </w:t>
            </w:r>
            <w:r w:rsidRPr="000B436F">
              <w:rPr>
                <w:rFonts w:asciiTheme="minorHAnsi" w:hAnsiTheme="minorHAnsi" w:cs="Times New Roman"/>
                <w:b w:val="0"/>
                <w:sz w:val="24"/>
                <w:szCs w:val="24"/>
              </w:rPr>
              <w:t>debt and its respective debtor.  Receivable subsidiary records are reconciled on a monthly basis to the general ledger control accounts.</w:t>
            </w:r>
            <w:r w:rsidR="006D6D26">
              <w:rPr>
                <w:rFonts w:asciiTheme="minorHAnsi" w:hAnsiTheme="minorHAnsi" w:cs="Times New Roman"/>
                <w:b w:val="0"/>
                <w:sz w:val="24"/>
                <w:szCs w:val="24"/>
              </w:rPr>
              <w:t xml:space="preserve"> Refer to the NAFSGL for a complete listing of receivable accounts and their definitions.</w:t>
            </w:r>
            <w:r w:rsidRPr="000B436F">
              <w:rPr>
                <w:rFonts w:asciiTheme="minorHAnsi" w:hAnsiTheme="minorHAnsi" w:cs="Times New Roman"/>
                <w:b w:val="0"/>
                <w:sz w:val="24"/>
                <w:szCs w:val="24"/>
              </w:rPr>
              <w:t xml:space="preserve"> </w:t>
            </w:r>
          </w:p>
        </w:tc>
        <w:tc>
          <w:tcPr>
            <w:tcW w:w="1620" w:type="dxa"/>
          </w:tcPr>
          <w:p w14:paraId="4EB4678F" w14:textId="7FBD01D0" w:rsidR="00171B64" w:rsidRPr="000B436F" w:rsidRDefault="002453C4" w:rsidP="002453C4">
            <w:pPr>
              <w:cnfStyle w:val="000000100000" w:firstRow="0" w:lastRow="0" w:firstColumn="0" w:lastColumn="0" w:oddVBand="0" w:evenVBand="0" w:oddHBand="1" w:evenHBand="0" w:firstRowFirstColumn="0" w:firstRowLastColumn="0" w:lastRowFirstColumn="0" w:lastRowLastColumn="0"/>
              <w:rPr>
                <w:sz w:val="24"/>
                <w:szCs w:val="24"/>
              </w:rPr>
            </w:pPr>
            <w:r w:rsidRPr="000B436F">
              <w:rPr>
                <w:rFonts w:asciiTheme="minorHAnsi" w:hAnsiTheme="minorHAnsi"/>
                <w:sz w:val="24"/>
                <w:szCs w:val="24"/>
              </w:rPr>
              <w:t>Follows Alternative Guidance</w:t>
            </w:r>
          </w:p>
          <w:p w14:paraId="2D98B37C" w14:textId="77777777" w:rsidR="00171B64" w:rsidRPr="000B436F" w:rsidRDefault="00171B64" w:rsidP="00171B64">
            <w:pPr>
              <w:cnfStyle w:val="000000100000" w:firstRow="0" w:lastRow="0" w:firstColumn="0" w:lastColumn="0" w:oddVBand="0" w:evenVBand="0" w:oddHBand="1" w:evenHBand="0" w:firstRowFirstColumn="0" w:firstRowLastColumn="0" w:lastRowFirstColumn="0" w:lastRowLastColumn="0"/>
              <w:rPr>
                <w:sz w:val="24"/>
                <w:szCs w:val="24"/>
              </w:rPr>
            </w:pPr>
          </w:p>
          <w:p w14:paraId="3397F28E" w14:textId="77777777" w:rsidR="00171B64" w:rsidRPr="000B436F" w:rsidRDefault="00171B64" w:rsidP="00171B64">
            <w:pPr>
              <w:cnfStyle w:val="000000100000" w:firstRow="0" w:lastRow="0" w:firstColumn="0" w:lastColumn="0" w:oddVBand="0" w:evenVBand="0" w:oddHBand="1" w:evenHBand="0" w:firstRowFirstColumn="0" w:firstRowLastColumn="0" w:lastRowFirstColumn="0" w:lastRowLastColumn="0"/>
              <w:rPr>
                <w:sz w:val="24"/>
                <w:szCs w:val="24"/>
              </w:rPr>
            </w:pPr>
          </w:p>
          <w:p w14:paraId="4401760C" w14:textId="77777777" w:rsidR="00171B64" w:rsidRPr="000B436F" w:rsidRDefault="00171B64" w:rsidP="00171B64">
            <w:pPr>
              <w:cnfStyle w:val="000000100000" w:firstRow="0" w:lastRow="0" w:firstColumn="0" w:lastColumn="0" w:oddVBand="0" w:evenVBand="0" w:oddHBand="1" w:evenHBand="0" w:firstRowFirstColumn="0" w:firstRowLastColumn="0" w:lastRowFirstColumn="0" w:lastRowLastColumn="0"/>
              <w:rPr>
                <w:sz w:val="24"/>
                <w:szCs w:val="24"/>
              </w:rPr>
            </w:pPr>
          </w:p>
          <w:p w14:paraId="10FB9069" w14:textId="071A87CC" w:rsidR="00171B64" w:rsidRPr="000B436F" w:rsidRDefault="00171B64" w:rsidP="00171B64">
            <w:pPr>
              <w:cnfStyle w:val="000000100000" w:firstRow="0" w:lastRow="0" w:firstColumn="0" w:lastColumn="0" w:oddVBand="0" w:evenVBand="0" w:oddHBand="1" w:evenHBand="0" w:firstRowFirstColumn="0" w:firstRowLastColumn="0" w:lastRowFirstColumn="0" w:lastRowLastColumn="0"/>
              <w:rPr>
                <w:sz w:val="24"/>
                <w:szCs w:val="24"/>
              </w:rPr>
            </w:pPr>
          </w:p>
          <w:p w14:paraId="1FD863FE" w14:textId="77777777" w:rsidR="002453C4" w:rsidRPr="000B436F" w:rsidRDefault="002453C4" w:rsidP="00171B64">
            <w:pPr>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800" w:type="dxa"/>
          </w:tcPr>
          <w:p w14:paraId="4EB46790" w14:textId="77777777" w:rsidR="002453C4" w:rsidRPr="000B436F" w:rsidRDefault="002453C4" w:rsidP="002453C4">
            <w:pPr>
              <w:cnfStyle w:val="000000100000" w:firstRow="0" w:lastRow="0" w:firstColumn="0" w:lastColumn="0" w:oddVBand="0" w:evenVBand="0" w:oddHBand="1" w:evenHBand="0" w:firstRowFirstColumn="0" w:firstRowLastColumn="0" w:lastRowFirstColumn="0" w:lastRowLastColumn="0"/>
              <w:rPr>
                <w:sz w:val="24"/>
                <w:szCs w:val="24"/>
              </w:rPr>
            </w:pPr>
            <w:r w:rsidRPr="000B436F">
              <w:rPr>
                <w:rFonts w:asciiTheme="minorHAnsi" w:hAnsiTheme="minorHAnsi"/>
                <w:sz w:val="24"/>
                <w:szCs w:val="24"/>
              </w:rPr>
              <w:t>Follows Alternative Guidance</w:t>
            </w:r>
          </w:p>
        </w:tc>
        <w:tc>
          <w:tcPr>
            <w:tcW w:w="1890" w:type="dxa"/>
          </w:tcPr>
          <w:p w14:paraId="7A0FE59A" w14:textId="77777777" w:rsidR="00BE3BAC" w:rsidRPr="000B436F" w:rsidRDefault="002453C4" w:rsidP="002453C4">
            <w:pPr>
              <w:cnfStyle w:val="000000100000" w:firstRow="0" w:lastRow="0" w:firstColumn="0" w:lastColumn="0" w:oddVBand="0" w:evenVBand="0" w:oddHBand="1" w:evenHBand="0" w:firstRowFirstColumn="0" w:firstRowLastColumn="0" w:lastRowFirstColumn="0" w:lastRowLastColumn="0"/>
              <w:rPr>
                <w:rFonts w:asciiTheme="minorHAnsi" w:hAnsiTheme="minorHAnsi"/>
                <w:sz w:val="24"/>
                <w:szCs w:val="24"/>
              </w:rPr>
            </w:pPr>
            <w:r w:rsidRPr="000B436F">
              <w:rPr>
                <w:rFonts w:asciiTheme="minorHAnsi" w:hAnsiTheme="minorHAnsi"/>
                <w:sz w:val="24"/>
                <w:szCs w:val="24"/>
              </w:rPr>
              <w:t xml:space="preserve">Follows </w:t>
            </w:r>
          </w:p>
          <w:p w14:paraId="4EB46791" w14:textId="4EE83796" w:rsidR="002453C4" w:rsidRPr="000B436F" w:rsidRDefault="002453C4" w:rsidP="002453C4">
            <w:pPr>
              <w:cnfStyle w:val="000000100000" w:firstRow="0" w:lastRow="0" w:firstColumn="0" w:lastColumn="0" w:oddVBand="0" w:evenVBand="0" w:oddHBand="1" w:evenHBand="0" w:firstRowFirstColumn="0" w:firstRowLastColumn="0" w:lastRowFirstColumn="0" w:lastRowLastColumn="0"/>
              <w:rPr>
                <w:sz w:val="24"/>
                <w:szCs w:val="24"/>
              </w:rPr>
            </w:pPr>
            <w:r w:rsidRPr="000B436F">
              <w:rPr>
                <w:rFonts w:asciiTheme="minorHAnsi" w:hAnsiTheme="minorHAnsi"/>
                <w:sz w:val="24"/>
                <w:szCs w:val="24"/>
              </w:rPr>
              <w:t>Alternative Guidance</w:t>
            </w:r>
          </w:p>
        </w:tc>
        <w:tc>
          <w:tcPr>
            <w:tcW w:w="1810" w:type="dxa"/>
          </w:tcPr>
          <w:p w14:paraId="4EB46792" w14:textId="77777777" w:rsidR="002453C4" w:rsidRPr="000B436F" w:rsidRDefault="002453C4" w:rsidP="002453C4">
            <w:pPr>
              <w:cnfStyle w:val="000000100000" w:firstRow="0" w:lastRow="0" w:firstColumn="0" w:lastColumn="0" w:oddVBand="0" w:evenVBand="0" w:oddHBand="1" w:evenHBand="0" w:firstRowFirstColumn="0" w:firstRowLastColumn="0" w:lastRowFirstColumn="0" w:lastRowLastColumn="0"/>
              <w:rPr>
                <w:sz w:val="24"/>
                <w:szCs w:val="24"/>
              </w:rPr>
            </w:pPr>
            <w:r w:rsidRPr="000B436F">
              <w:rPr>
                <w:rFonts w:asciiTheme="minorHAnsi" w:hAnsiTheme="minorHAnsi"/>
                <w:sz w:val="24"/>
                <w:szCs w:val="24"/>
              </w:rPr>
              <w:t>Follows Alternative Guidance</w:t>
            </w:r>
          </w:p>
        </w:tc>
      </w:tr>
      <w:tr w:rsidR="00586697" w:rsidRPr="00655FDE" w14:paraId="4EB4679A" w14:textId="77777777" w:rsidTr="0036252D">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7550" w:type="dxa"/>
          </w:tcPr>
          <w:p w14:paraId="20E17AD6" w14:textId="77777777" w:rsidR="00BF37CB" w:rsidRPr="000B436F" w:rsidRDefault="00586697" w:rsidP="00BF37CB">
            <w:pPr>
              <w:rPr>
                <w:rFonts w:asciiTheme="minorHAnsi" w:hAnsiTheme="minorHAnsi"/>
                <w:b w:val="0"/>
                <w:sz w:val="24"/>
                <w:szCs w:val="24"/>
              </w:rPr>
            </w:pPr>
            <w:r w:rsidRPr="000B436F">
              <w:rPr>
                <w:rFonts w:asciiTheme="minorHAnsi" w:hAnsiTheme="minorHAnsi"/>
                <w:sz w:val="24"/>
                <w:szCs w:val="24"/>
              </w:rPr>
              <w:t>GAAP</w:t>
            </w:r>
            <w:r w:rsidR="00BF37CB" w:rsidRPr="000B436F">
              <w:rPr>
                <w:rFonts w:asciiTheme="minorHAnsi" w:hAnsiTheme="minorHAnsi"/>
                <w:sz w:val="24"/>
                <w:szCs w:val="24"/>
              </w:rPr>
              <w:t xml:space="preserve">: ASC </w:t>
            </w:r>
            <w:r w:rsidR="00035ACF" w:rsidRPr="000B436F">
              <w:rPr>
                <w:rFonts w:asciiTheme="minorHAnsi" w:hAnsiTheme="minorHAnsi"/>
                <w:sz w:val="24"/>
                <w:szCs w:val="24"/>
              </w:rPr>
              <w:t>310.10.55.14</w:t>
            </w:r>
            <w:r w:rsidR="00035ACF" w:rsidRPr="000B436F">
              <w:rPr>
                <w:rFonts w:asciiTheme="minorHAnsi" w:hAnsiTheme="minorHAnsi"/>
                <w:b w:val="0"/>
                <w:sz w:val="24"/>
                <w:szCs w:val="24"/>
              </w:rPr>
              <w:t xml:space="preserve"> </w:t>
            </w:r>
          </w:p>
          <w:p w14:paraId="405C6930" w14:textId="199A09AA" w:rsidR="00035ACF" w:rsidRPr="000B436F" w:rsidRDefault="00BF37CB" w:rsidP="000B436F">
            <w:pPr>
              <w:rPr>
                <w:rFonts w:asciiTheme="minorHAnsi" w:hAnsiTheme="minorHAnsi"/>
                <w:b w:val="0"/>
                <w:sz w:val="24"/>
                <w:szCs w:val="24"/>
              </w:rPr>
            </w:pPr>
            <w:r w:rsidRPr="000B436F">
              <w:rPr>
                <w:rFonts w:asciiTheme="minorHAnsi" w:hAnsiTheme="minorHAnsi"/>
                <w:b w:val="0"/>
                <w:sz w:val="24"/>
                <w:szCs w:val="24"/>
              </w:rPr>
              <w:t xml:space="preserve">GAAP </w:t>
            </w:r>
            <w:r w:rsidR="00035ACF" w:rsidRPr="000B436F">
              <w:rPr>
                <w:rFonts w:asciiTheme="minorHAnsi" w:hAnsiTheme="minorHAnsi"/>
                <w:b w:val="0"/>
                <w:sz w:val="24"/>
                <w:szCs w:val="24"/>
              </w:rPr>
              <w:t xml:space="preserve">identifies credit cards as financing receivables. </w:t>
            </w:r>
            <w:r w:rsidR="002639C0" w:rsidRPr="000B436F">
              <w:rPr>
                <w:rFonts w:asciiTheme="minorHAnsi" w:hAnsiTheme="minorHAnsi"/>
                <w:b w:val="0"/>
                <w:sz w:val="24"/>
                <w:szCs w:val="24"/>
              </w:rPr>
              <w:t xml:space="preserve">Financing arrangements are defined in </w:t>
            </w:r>
            <w:r w:rsidR="00035ACF" w:rsidRPr="000B436F">
              <w:rPr>
                <w:rFonts w:asciiTheme="minorHAnsi" w:hAnsiTheme="minorHAnsi"/>
                <w:b w:val="0"/>
                <w:sz w:val="24"/>
                <w:szCs w:val="24"/>
              </w:rPr>
              <w:t>ASU 2010-20, paragraph 2</w:t>
            </w:r>
            <w:r w:rsidR="002639C0" w:rsidRPr="000B436F">
              <w:rPr>
                <w:rFonts w:asciiTheme="minorHAnsi" w:hAnsiTheme="minorHAnsi"/>
                <w:b w:val="0"/>
                <w:sz w:val="24"/>
                <w:szCs w:val="24"/>
              </w:rPr>
              <w:t>.</w:t>
            </w:r>
            <w:r w:rsidR="000B436F">
              <w:rPr>
                <w:rFonts w:asciiTheme="minorHAnsi" w:hAnsiTheme="minorHAnsi"/>
                <w:b w:val="0"/>
                <w:sz w:val="24"/>
                <w:szCs w:val="24"/>
              </w:rPr>
              <w:t>:</w:t>
            </w:r>
            <w:r w:rsidR="00035ACF" w:rsidRPr="000B436F">
              <w:rPr>
                <w:rFonts w:asciiTheme="minorHAnsi" w:hAnsiTheme="minorHAnsi"/>
                <w:b w:val="0"/>
                <w:sz w:val="24"/>
                <w:szCs w:val="24"/>
              </w:rPr>
              <w:t xml:space="preserve"> </w:t>
            </w:r>
            <w:r w:rsidR="002639C0" w:rsidRPr="000B436F">
              <w:rPr>
                <w:rFonts w:asciiTheme="minorHAnsi" w:hAnsiTheme="minorHAnsi"/>
                <w:b w:val="0"/>
                <w:sz w:val="24"/>
                <w:szCs w:val="24"/>
              </w:rPr>
              <w:t xml:space="preserve">A financing arrangement that has both of the following characteristics: </w:t>
            </w:r>
            <w:r w:rsidR="00035ACF" w:rsidRPr="000B436F">
              <w:rPr>
                <w:rFonts w:asciiTheme="minorHAnsi" w:hAnsiTheme="minorHAnsi"/>
                <w:b w:val="0"/>
                <w:sz w:val="24"/>
                <w:szCs w:val="24"/>
              </w:rPr>
              <w:t>It represents a contractual right to receive money in either of the following ways:</w:t>
            </w:r>
          </w:p>
          <w:p w14:paraId="3C42E459" w14:textId="0373ECB6" w:rsidR="00035ACF" w:rsidRPr="000B436F" w:rsidRDefault="00035ACF" w:rsidP="00035ACF">
            <w:pPr>
              <w:pStyle w:val="armleftmargin000"/>
              <w:rPr>
                <w:rFonts w:asciiTheme="minorHAnsi" w:hAnsiTheme="minorHAnsi" w:cs="Arial"/>
                <w:b w:val="0"/>
              </w:rPr>
            </w:pPr>
            <w:r w:rsidRPr="000B436F">
              <w:rPr>
                <w:rFonts w:asciiTheme="minorHAnsi" w:hAnsiTheme="minorHAnsi" w:cs="Arial"/>
                <w:b w:val="0"/>
              </w:rPr>
              <w:tab/>
              <w:t xml:space="preserve">1. On demand </w:t>
            </w:r>
          </w:p>
          <w:p w14:paraId="24F03811" w14:textId="2EA3A24B" w:rsidR="00236C06" w:rsidRPr="000B436F" w:rsidRDefault="00035ACF" w:rsidP="00035ACF">
            <w:pPr>
              <w:pStyle w:val="armleftmargin050"/>
              <w:rPr>
                <w:rFonts w:asciiTheme="minorHAnsi" w:hAnsiTheme="minorHAnsi" w:cs="Arial"/>
                <w:b w:val="0"/>
              </w:rPr>
            </w:pPr>
            <w:r w:rsidRPr="000B436F">
              <w:rPr>
                <w:rFonts w:asciiTheme="minorHAnsi" w:hAnsiTheme="minorHAnsi" w:cs="Arial"/>
                <w:b w:val="0"/>
              </w:rPr>
              <w:tab/>
              <w:t>2. On fixed or determinable dates.</w:t>
            </w:r>
          </w:p>
          <w:p w14:paraId="4F544DB7" w14:textId="77777777" w:rsidR="00F92B16" w:rsidRPr="000B436F" w:rsidRDefault="00035ACF" w:rsidP="00035ACF">
            <w:pPr>
              <w:pStyle w:val="armleftmargin025"/>
              <w:rPr>
                <w:rFonts w:asciiTheme="minorHAnsi" w:hAnsiTheme="minorHAnsi" w:cs="Arial"/>
                <w:b w:val="0"/>
              </w:rPr>
            </w:pPr>
            <w:r w:rsidRPr="000B436F">
              <w:rPr>
                <w:rFonts w:asciiTheme="minorHAnsi" w:hAnsiTheme="minorHAnsi" w:cs="Arial"/>
                <w:b w:val="0"/>
              </w:rPr>
              <w:lastRenderedPageBreak/>
              <w:t xml:space="preserve">b. It is recognized as an asset in the entity’s statement of financial position. </w:t>
            </w:r>
          </w:p>
          <w:p w14:paraId="644347DB" w14:textId="77777777" w:rsidR="00236C06" w:rsidRDefault="00312147" w:rsidP="000B436F">
            <w:pPr>
              <w:pStyle w:val="armleftmargin025"/>
              <w:rPr>
                <w:rFonts w:asciiTheme="minorHAnsi" w:hAnsiTheme="minorHAnsi" w:cs="Arial"/>
                <w:b w:val="0"/>
              </w:rPr>
            </w:pPr>
            <w:r w:rsidRPr="000B436F">
              <w:rPr>
                <w:rFonts w:asciiTheme="minorHAnsi" w:hAnsiTheme="minorHAnsi" w:cs="Arial"/>
                <w:b w:val="0"/>
              </w:rPr>
              <w:t xml:space="preserve">GAAP 305.10.20 defines cash equivalents in  FAS 095, paragraph 8-9, </w:t>
            </w:r>
            <w:r w:rsidRPr="000B436F">
              <w:rPr>
                <w:rFonts w:asciiTheme="minorHAnsi" w:hAnsiTheme="minorHAnsi" w:cs="Arial"/>
              </w:rPr>
              <w:t xml:space="preserve">which states: </w:t>
            </w:r>
            <w:r w:rsidRPr="000B436F">
              <w:rPr>
                <w:rFonts w:asciiTheme="minorHAnsi" w:hAnsiTheme="minorHAnsi" w:cs="Arial"/>
                <w:b w:val="0"/>
              </w:rPr>
              <w:t xml:space="preserve"> </w:t>
            </w:r>
          </w:p>
          <w:p w14:paraId="44333779" w14:textId="04289BDE" w:rsidR="00312147" w:rsidRPr="000B436F" w:rsidRDefault="00312147" w:rsidP="000B436F">
            <w:pPr>
              <w:pStyle w:val="armleftmargin025"/>
              <w:rPr>
                <w:rFonts w:asciiTheme="minorHAnsi" w:hAnsiTheme="minorHAnsi" w:cs="Arial"/>
                <w:b w:val="0"/>
              </w:rPr>
            </w:pPr>
            <w:r w:rsidRPr="000B436F">
              <w:rPr>
                <w:rFonts w:asciiTheme="minorHAnsi" w:hAnsiTheme="minorHAnsi" w:cs="Arial"/>
                <w:b w:val="0"/>
              </w:rPr>
              <w:t>Cash equivalents are short-term, highly liquid investments that have both of the following characteristics:</w:t>
            </w:r>
            <w:r w:rsidRPr="000B436F">
              <w:rPr>
                <w:rFonts w:asciiTheme="minorHAnsi" w:hAnsiTheme="minorHAnsi" w:cs="Arial"/>
              </w:rPr>
              <w:t xml:space="preserve"> </w:t>
            </w:r>
          </w:p>
          <w:p w14:paraId="7BE3F598" w14:textId="15A9BABB" w:rsidR="00312147" w:rsidRPr="000B436F" w:rsidRDefault="00312147" w:rsidP="00312147">
            <w:pPr>
              <w:pStyle w:val="armleftmargin025"/>
              <w:rPr>
                <w:rFonts w:asciiTheme="minorHAnsi" w:hAnsiTheme="minorHAnsi" w:cs="Arial"/>
                <w:b w:val="0"/>
              </w:rPr>
            </w:pPr>
            <w:r w:rsidRPr="000B436F">
              <w:rPr>
                <w:rFonts w:asciiTheme="minorHAnsi" w:hAnsiTheme="minorHAnsi" w:cs="Arial"/>
                <w:b w:val="0"/>
              </w:rPr>
              <w:t>a. Readily convertible to known amounts of cash</w:t>
            </w:r>
            <w:r w:rsidRPr="000B436F">
              <w:rPr>
                <w:rFonts w:asciiTheme="minorHAnsi" w:hAnsiTheme="minorHAnsi" w:cs="Arial"/>
              </w:rPr>
              <w:t xml:space="preserve"> </w:t>
            </w:r>
          </w:p>
          <w:p w14:paraId="0B2464BE" w14:textId="2B6D4A36" w:rsidR="00312147" w:rsidRPr="000B436F" w:rsidRDefault="00312147" w:rsidP="00312147">
            <w:pPr>
              <w:pStyle w:val="armleftmargin025"/>
              <w:rPr>
                <w:rFonts w:asciiTheme="minorHAnsi" w:hAnsiTheme="minorHAnsi" w:cs="Arial"/>
                <w:b w:val="0"/>
              </w:rPr>
            </w:pPr>
            <w:r w:rsidRPr="000B436F">
              <w:rPr>
                <w:rFonts w:asciiTheme="minorHAnsi" w:hAnsiTheme="minorHAnsi" w:cs="Arial"/>
                <w:b w:val="0"/>
              </w:rPr>
              <w:t>b. So near their maturity that they present insignificant risk of changes in value because of changes in interest rates</w:t>
            </w:r>
          </w:p>
          <w:p w14:paraId="4EB46795" w14:textId="4D06B710" w:rsidR="00312147" w:rsidRPr="000B436F" w:rsidRDefault="00312147" w:rsidP="00312147">
            <w:pPr>
              <w:pStyle w:val="armleftmargin025"/>
              <w:rPr>
                <w:rFonts w:ascii="Helvetica" w:hAnsi="Helvetica" w:cs="Helvetica"/>
                <w:b w:val="0"/>
                <w:color w:val="0070C0"/>
                <w:lang w:val="en"/>
              </w:rPr>
            </w:pPr>
            <w:r w:rsidRPr="00236C06">
              <w:rPr>
                <w:rFonts w:asciiTheme="minorHAnsi" w:hAnsiTheme="minorHAnsi" w:cs="Arial"/>
                <w:u w:val="single"/>
              </w:rPr>
              <w:t xml:space="preserve"> Generally, only investments with original maturities of three months or less qualify under that definition</w:t>
            </w:r>
            <w:r w:rsidRPr="000B436F">
              <w:rPr>
                <w:rFonts w:asciiTheme="minorHAnsi" w:hAnsiTheme="minorHAnsi" w:cs="Arial"/>
                <w:b w:val="0"/>
              </w:rPr>
              <w:t>.</w:t>
            </w:r>
            <w:r w:rsidRPr="000B436F">
              <w:rPr>
                <w:rFonts w:asciiTheme="minorHAnsi" w:hAnsiTheme="minorHAnsi" w:cs="Arial"/>
              </w:rPr>
              <w:t xml:space="preserve"> </w:t>
            </w:r>
            <w:r w:rsidRPr="000B436F">
              <w:rPr>
                <w:rFonts w:asciiTheme="minorHAnsi" w:hAnsiTheme="minorHAnsi" w:cs="Arial"/>
                <w:b w:val="0"/>
              </w:rPr>
              <w:t xml:space="preserve">Original maturity means original maturity to the entity holding the investment. For example, </w:t>
            </w:r>
            <w:r w:rsidRPr="00236C06">
              <w:rPr>
                <w:rFonts w:asciiTheme="minorHAnsi" w:hAnsiTheme="minorHAnsi" w:cs="Arial"/>
              </w:rPr>
              <w:t>both a three-month U.S. Treasury bill and a three-year U.S. Treasury note purchased three months from maturity qualify as cash equivalents</w:t>
            </w:r>
            <w:r w:rsidRPr="000B436F">
              <w:rPr>
                <w:rFonts w:asciiTheme="minorHAnsi" w:hAnsiTheme="minorHAnsi" w:cs="Arial"/>
                <w:b w:val="0"/>
              </w:rPr>
              <w:t xml:space="preserve">. </w:t>
            </w:r>
            <w:r w:rsidRPr="00236C06">
              <w:rPr>
                <w:rFonts w:asciiTheme="minorHAnsi" w:hAnsiTheme="minorHAnsi" w:cs="Arial"/>
              </w:rPr>
              <w:t>However, a Treasury note purchased three years ago does not become a cash equivalent when its remaining maturity is three months.</w:t>
            </w:r>
            <w:r w:rsidRPr="000B436F">
              <w:rPr>
                <w:rFonts w:asciiTheme="minorHAnsi" w:hAnsiTheme="minorHAnsi" w:cs="Arial"/>
                <w:b w:val="0"/>
              </w:rPr>
              <w:t xml:space="preserve"> Examples of items commonly considered to be cash equivalents are Treasury bills, commercial paper, money market funds, and federal funds sold (for an entity with banking operations).</w:t>
            </w:r>
            <w:r w:rsidRPr="000B436F">
              <w:rPr>
                <w:rFonts w:asciiTheme="minorHAnsi" w:hAnsiTheme="minorHAnsi" w:cs="Arial"/>
              </w:rPr>
              <w:t xml:space="preserve"> </w:t>
            </w:r>
          </w:p>
        </w:tc>
        <w:tc>
          <w:tcPr>
            <w:tcW w:w="1620" w:type="dxa"/>
          </w:tcPr>
          <w:p w14:paraId="4EB46796" w14:textId="77777777" w:rsidR="00586697" w:rsidRPr="000B436F" w:rsidRDefault="00586697" w:rsidP="00586697">
            <w:pPr>
              <w:cnfStyle w:val="000000010000" w:firstRow="0" w:lastRow="0" w:firstColumn="0" w:lastColumn="0" w:oddVBand="0" w:evenVBand="0" w:oddHBand="0" w:evenHBand="1" w:firstRowFirstColumn="0" w:firstRowLastColumn="0" w:lastRowFirstColumn="0" w:lastRowLastColumn="0"/>
              <w:rPr>
                <w:sz w:val="24"/>
                <w:szCs w:val="24"/>
              </w:rPr>
            </w:pPr>
            <w:r w:rsidRPr="000B436F">
              <w:rPr>
                <w:sz w:val="24"/>
                <w:szCs w:val="24"/>
              </w:rPr>
              <w:lastRenderedPageBreak/>
              <w:t>N/A</w:t>
            </w:r>
          </w:p>
        </w:tc>
        <w:tc>
          <w:tcPr>
            <w:tcW w:w="1800" w:type="dxa"/>
          </w:tcPr>
          <w:p w14:paraId="4EB46797" w14:textId="77777777" w:rsidR="00586697" w:rsidRPr="000B436F" w:rsidRDefault="00586697" w:rsidP="00586697">
            <w:pPr>
              <w:cnfStyle w:val="000000010000" w:firstRow="0" w:lastRow="0" w:firstColumn="0" w:lastColumn="0" w:oddVBand="0" w:evenVBand="0" w:oddHBand="0" w:evenHBand="1" w:firstRowFirstColumn="0" w:firstRowLastColumn="0" w:lastRowFirstColumn="0" w:lastRowLastColumn="0"/>
              <w:rPr>
                <w:sz w:val="24"/>
                <w:szCs w:val="24"/>
              </w:rPr>
            </w:pPr>
            <w:r w:rsidRPr="000B436F">
              <w:rPr>
                <w:sz w:val="24"/>
                <w:szCs w:val="24"/>
              </w:rPr>
              <w:t>N/A</w:t>
            </w:r>
          </w:p>
        </w:tc>
        <w:tc>
          <w:tcPr>
            <w:tcW w:w="1890" w:type="dxa"/>
          </w:tcPr>
          <w:p w14:paraId="4EB46798" w14:textId="77777777" w:rsidR="00586697" w:rsidRPr="000B436F" w:rsidRDefault="00586697" w:rsidP="00586697">
            <w:pPr>
              <w:cnfStyle w:val="000000010000" w:firstRow="0" w:lastRow="0" w:firstColumn="0" w:lastColumn="0" w:oddVBand="0" w:evenVBand="0" w:oddHBand="0" w:evenHBand="1" w:firstRowFirstColumn="0" w:firstRowLastColumn="0" w:lastRowFirstColumn="0" w:lastRowLastColumn="0"/>
              <w:rPr>
                <w:sz w:val="24"/>
                <w:szCs w:val="24"/>
              </w:rPr>
            </w:pPr>
            <w:r w:rsidRPr="000B436F">
              <w:rPr>
                <w:sz w:val="24"/>
                <w:szCs w:val="24"/>
              </w:rPr>
              <w:t>N/A</w:t>
            </w:r>
          </w:p>
        </w:tc>
        <w:tc>
          <w:tcPr>
            <w:tcW w:w="1810" w:type="dxa"/>
          </w:tcPr>
          <w:p w14:paraId="4EB46799" w14:textId="77777777" w:rsidR="00586697" w:rsidRPr="000B436F" w:rsidRDefault="00586697" w:rsidP="00586697">
            <w:pPr>
              <w:cnfStyle w:val="000000010000" w:firstRow="0" w:lastRow="0" w:firstColumn="0" w:lastColumn="0" w:oddVBand="0" w:evenVBand="0" w:oddHBand="0" w:evenHBand="1" w:firstRowFirstColumn="0" w:firstRowLastColumn="0" w:lastRowFirstColumn="0" w:lastRowLastColumn="0"/>
              <w:rPr>
                <w:sz w:val="24"/>
                <w:szCs w:val="24"/>
              </w:rPr>
            </w:pPr>
            <w:r w:rsidRPr="000B436F">
              <w:rPr>
                <w:sz w:val="24"/>
                <w:szCs w:val="24"/>
              </w:rPr>
              <w:t>N/A</w:t>
            </w:r>
          </w:p>
        </w:tc>
      </w:tr>
      <w:tr w:rsidR="00586697" w:rsidRPr="00655FDE" w14:paraId="4EB467A0" w14:textId="77777777" w:rsidTr="006214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EB4679B" w14:textId="1559942E" w:rsidR="00586697" w:rsidRPr="00D952E5" w:rsidRDefault="00D5136F" w:rsidP="00E17AAF">
            <w:pPr>
              <w:autoSpaceDE w:val="0"/>
              <w:autoSpaceDN w:val="0"/>
              <w:adjustRightInd w:val="0"/>
              <w:rPr>
                <w:rFonts w:asciiTheme="minorHAnsi" w:hAnsiTheme="minorHAnsi"/>
                <w:sz w:val="24"/>
                <w:szCs w:val="24"/>
              </w:rPr>
            </w:pPr>
            <w:r>
              <w:rPr>
                <w:rFonts w:asciiTheme="minorHAnsi" w:hAnsiTheme="minorHAnsi"/>
                <w:sz w:val="24"/>
                <w:szCs w:val="24"/>
              </w:rPr>
              <w:t>FASAB Handbook version 16</w:t>
            </w:r>
            <w:r w:rsidR="00586697" w:rsidRPr="00D952E5">
              <w:rPr>
                <w:rFonts w:asciiTheme="minorHAnsi" w:hAnsiTheme="minorHAnsi"/>
                <w:sz w:val="24"/>
                <w:szCs w:val="24"/>
              </w:rPr>
              <w:t xml:space="preserve">: </w:t>
            </w:r>
            <w:r w:rsidR="00586697">
              <w:rPr>
                <w:rFonts w:asciiTheme="minorHAnsi" w:hAnsiTheme="minorHAnsi" w:cs="Times New Roman"/>
                <w:sz w:val="24"/>
                <w:szCs w:val="24"/>
              </w:rPr>
              <w:t xml:space="preserve"> </w:t>
            </w:r>
            <w:r w:rsidR="00586697">
              <w:rPr>
                <w:rFonts w:asciiTheme="minorHAnsi" w:hAnsiTheme="minorHAnsi" w:cs="Times New Roman"/>
                <w:b w:val="0"/>
                <w:sz w:val="24"/>
                <w:szCs w:val="24"/>
              </w:rPr>
              <w:t>Silent on treatment</w:t>
            </w:r>
          </w:p>
        </w:tc>
        <w:tc>
          <w:tcPr>
            <w:tcW w:w="1620" w:type="dxa"/>
          </w:tcPr>
          <w:p w14:paraId="4EB4679C" w14:textId="77777777" w:rsidR="00586697" w:rsidRPr="00B137AE" w:rsidRDefault="00586697" w:rsidP="00586697">
            <w:pPr>
              <w:cnfStyle w:val="000000100000" w:firstRow="0" w:lastRow="0" w:firstColumn="0" w:lastColumn="0" w:oddVBand="0" w:evenVBand="0" w:oddHBand="1" w:evenHBand="0" w:firstRowFirstColumn="0" w:firstRowLastColumn="0" w:lastRowFirstColumn="0" w:lastRowLastColumn="0"/>
              <w:rPr>
                <w:szCs w:val="22"/>
              </w:rPr>
            </w:pPr>
            <w:r w:rsidRPr="00B137AE">
              <w:rPr>
                <w:szCs w:val="22"/>
              </w:rPr>
              <w:t>N/A</w:t>
            </w:r>
          </w:p>
        </w:tc>
        <w:tc>
          <w:tcPr>
            <w:tcW w:w="1800" w:type="dxa"/>
          </w:tcPr>
          <w:p w14:paraId="4EB4679D" w14:textId="77777777" w:rsidR="00586697" w:rsidRPr="00B137AE" w:rsidRDefault="00586697" w:rsidP="00586697">
            <w:pPr>
              <w:cnfStyle w:val="000000100000" w:firstRow="0" w:lastRow="0" w:firstColumn="0" w:lastColumn="0" w:oddVBand="0" w:evenVBand="0" w:oddHBand="1" w:evenHBand="0" w:firstRowFirstColumn="0" w:firstRowLastColumn="0" w:lastRowFirstColumn="0" w:lastRowLastColumn="0"/>
              <w:rPr>
                <w:szCs w:val="22"/>
              </w:rPr>
            </w:pPr>
            <w:r w:rsidRPr="00B137AE">
              <w:rPr>
                <w:szCs w:val="22"/>
              </w:rPr>
              <w:t>N/A</w:t>
            </w:r>
          </w:p>
        </w:tc>
        <w:tc>
          <w:tcPr>
            <w:tcW w:w="1890" w:type="dxa"/>
          </w:tcPr>
          <w:p w14:paraId="4EB4679E" w14:textId="77777777" w:rsidR="00586697" w:rsidRPr="00B137AE" w:rsidRDefault="00586697" w:rsidP="00586697">
            <w:pPr>
              <w:cnfStyle w:val="000000100000" w:firstRow="0" w:lastRow="0" w:firstColumn="0" w:lastColumn="0" w:oddVBand="0" w:evenVBand="0" w:oddHBand="1" w:evenHBand="0" w:firstRowFirstColumn="0" w:firstRowLastColumn="0" w:lastRowFirstColumn="0" w:lastRowLastColumn="0"/>
              <w:rPr>
                <w:szCs w:val="22"/>
              </w:rPr>
            </w:pPr>
            <w:r w:rsidRPr="00B137AE">
              <w:rPr>
                <w:szCs w:val="22"/>
              </w:rPr>
              <w:t>N/A</w:t>
            </w:r>
          </w:p>
        </w:tc>
        <w:tc>
          <w:tcPr>
            <w:tcW w:w="1810" w:type="dxa"/>
          </w:tcPr>
          <w:p w14:paraId="4EB4679F" w14:textId="77777777" w:rsidR="00586697" w:rsidRPr="00B137AE" w:rsidRDefault="00586697" w:rsidP="00586697">
            <w:pPr>
              <w:cnfStyle w:val="000000100000" w:firstRow="0" w:lastRow="0" w:firstColumn="0" w:lastColumn="0" w:oddVBand="0" w:evenVBand="0" w:oddHBand="1" w:evenHBand="0" w:firstRowFirstColumn="0" w:firstRowLastColumn="0" w:lastRowFirstColumn="0" w:lastRowLastColumn="0"/>
              <w:rPr>
                <w:szCs w:val="22"/>
              </w:rPr>
            </w:pPr>
            <w:r w:rsidRPr="00B137AE">
              <w:rPr>
                <w:szCs w:val="22"/>
              </w:rPr>
              <w:t>N/A</w:t>
            </w:r>
          </w:p>
        </w:tc>
      </w:tr>
      <w:tr w:rsidR="002A51E3" w:rsidRPr="00655FDE" w14:paraId="4EB467A6" w14:textId="77777777" w:rsidTr="006214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50" w:type="dxa"/>
          </w:tcPr>
          <w:p w14:paraId="4EB467A1" w14:textId="48BD6E18" w:rsidR="002A51E3" w:rsidRPr="00D952E5" w:rsidRDefault="002A51E3" w:rsidP="003B23B5">
            <w:pPr>
              <w:rPr>
                <w:rFonts w:asciiTheme="minorHAnsi" w:hAnsiTheme="minorHAnsi"/>
                <w:sz w:val="24"/>
                <w:szCs w:val="24"/>
              </w:rPr>
            </w:pPr>
            <w:r w:rsidRPr="00D952E5">
              <w:rPr>
                <w:rFonts w:asciiTheme="minorHAnsi" w:hAnsiTheme="minorHAnsi"/>
                <w:sz w:val="24"/>
                <w:szCs w:val="24"/>
              </w:rPr>
              <w:t xml:space="preserve">Industry Practice:  </w:t>
            </w:r>
            <w:r>
              <w:rPr>
                <w:rFonts w:asciiTheme="minorHAnsi" w:hAnsiTheme="minorHAnsi"/>
                <w:b w:val="0"/>
                <w:sz w:val="24"/>
                <w:szCs w:val="24"/>
              </w:rPr>
              <w:t xml:space="preserve"> Industry practice is to treat credit card processing transactions as </w:t>
            </w:r>
            <w:r w:rsidR="003B23B5">
              <w:rPr>
                <w:rFonts w:asciiTheme="minorHAnsi" w:hAnsiTheme="minorHAnsi"/>
                <w:b w:val="0"/>
                <w:sz w:val="24"/>
                <w:szCs w:val="24"/>
              </w:rPr>
              <w:t xml:space="preserve">a </w:t>
            </w:r>
            <w:r>
              <w:rPr>
                <w:rFonts w:asciiTheme="minorHAnsi" w:hAnsiTheme="minorHAnsi"/>
                <w:b w:val="0"/>
                <w:sz w:val="24"/>
                <w:szCs w:val="24"/>
              </w:rPr>
              <w:t>“Cash Equivalent</w:t>
            </w:r>
            <w:r w:rsidR="0093576F">
              <w:rPr>
                <w:rFonts w:asciiTheme="minorHAnsi" w:hAnsiTheme="minorHAnsi"/>
                <w:b w:val="0"/>
                <w:sz w:val="24"/>
                <w:szCs w:val="24"/>
              </w:rPr>
              <w:t xml:space="preserve"> Receivable</w:t>
            </w:r>
            <w:r>
              <w:rPr>
                <w:rFonts w:asciiTheme="minorHAnsi" w:hAnsiTheme="minorHAnsi"/>
                <w:b w:val="0"/>
                <w:sz w:val="24"/>
                <w:szCs w:val="24"/>
              </w:rPr>
              <w:t>”. Information</w:t>
            </w:r>
            <w:r w:rsidR="00C74212">
              <w:rPr>
                <w:rFonts w:asciiTheme="minorHAnsi" w:hAnsiTheme="minorHAnsi"/>
                <w:b w:val="0"/>
                <w:sz w:val="24"/>
                <w:szCs w:val="24"/>
              </w:rPr>
              <w:t xml:space="preserve"> obtained</w:t>
            </w:r>
            <w:r>
              <w:rPr>
                <w:rFonts w:asciiTheme="minorHAnsi" w:hAnsiTheme="minorHAnsi"/>
                <w:b w:val="0"/>
                <w:sz w:val="24"/>
                <w:szCs w:val="24"/>
              </w:rPr>
              <w:t xml:space="preserve"> from a $1.2 billion lodging and entertainment industry company</w:t>
            </w:r>
            <w:r w:rsidR="003B0A4D">
              <w:rPr>
                <w:rFonts w:asciiTheme="minorHAnsi" w:hAnsiTheme="minorHAnsi"/>
                <w:b w:val="0"/>
                <w:sz w:val="24"/>
                <w:szCs w:val="24"/>
              </w:rPr>
              <w:t>’s</w:t>
            </w:r>
            <w:r>
              <w:rPr>
                <w:rFonts w:asciiTheme="minorHAnsi" w:hAnsiTheme="minorHAnsi"/>
                <w:b w:val="0"/>
                <w:sz w:val="24"/>
                <w:szCs w:val="24"/>
              </w:rPr>
              <w:t xml:space="preserve"> controller.</w:t>
            </w:r>
          </w:p>
        </w:tc>
        <w:tc>
          <w:tcPr>
            <w:tcW w:w="1620" w:type="dxa"/>
          </w:tcPr>
          <w:p w14:paraId="4EB467A2" w14:textId="26355BAC" w:rsidR="002A51E3" w:rsidRPr="00B137AE" w:rsidRDefault="002A51E3" w:rsidP="002A51E3">
            <w:pPr>
              <w:cnfStyle w:val="000000010000" w:firstRow="0" w:lastRow="0" w:firstColumn="0" w:lastColumn="0" w:oddVBand="0" w:evenVBand="0" w:oddHBand="0" w:evenHBand="1" w:firstRowFirstColumn="0" w:firstRowLastColumn="0" w:lastRowFirstColumn="0" w:lastRowLastColumn="0"/>
              <w:rPr>
                <w:szCs w:val="22"/>
              </w:rPr>
            </w:pPr>
            <w:r w:rsidRPr="00B137AE">
              <w:rPr>
                <w:rFonts w:asciiTheme="minorHAnsi" w:hAnsiTheme="minorHAnsi"/>
                <w:szCs w:val="22"/>
              </w:rPr>
              <w:t>Follows Alternative Guidance</w:t>
            </w:r>
          </w:p>
        </w:tc>
        <w:tc>
          <w:tcPr>
            <w:tcW w:w="1800" w:type="dxa"/>
          </w:tcPr>
          <w:p w14:paraId="4EB467A3" w14:textId="680A9DDD" w:rsidR="002A51E3" w:rsidRPr="00B137AE" w:rsidRDefault="002A51E3" w:rsidP="002A51E3">
            <w:pPr>
              <w:cnfStyle w:val="000000010000" w:firstRow="0" w:lastRow="0" w:firstColumn="0" w:lastColumn="0" w:oddVBand="0" w:evenVBand="0" w:oddHBand="0" w:evenHBand="1" w:firstRowFirstColumn="0" w:firstRowLastColumn="0" w:lastRowFirstColumn="0" w:lastRowLastColumn="0"/>
              <w:rPr>
                <w:szCs w:val="22"/>
              </w:rPr>
            </w:pPr>
            <w:r w:rsidRPr="00B137AE">
              <w:rPr>
                <w:rFonts w:asciiTheme="minorHAnsi" w:hAnsiTheme="minorHAnsi"/>
                <w:szCs w:val="22"/>
              </w:rPr>
              <w:t>Follows Alternative Guidance</w:t>
            </w:r>
          </w:p>
        </w:tc>
        <w:tc>
          <w:tcPr>
            <w:tcW w:w="1890" w:type="dxa"/>
          </w:tcPr>
          <w:p w14:paraId="24A6646D" w14:textId="77777777" w:rsidR="00BE3BAC" w:rsidRDefault="002A51E3" w:rsidP="002A51E3">
            <w:pPr>
              <w:cnfStyle w:val="000000010000" w:firstRow="0" w:lastRow="0" w:firstColumn="0" w:lastColumn="0" w:oddVBand="0" w:evenVBand="0" w:oddHBand="0" w:evenHBand="1" w:firstRowFirstColumn="0" w:firstRowLastColumn="0" w:lastRowFirstColumn="0" w:lastRowLastColumn="0"/>
              <w:rPr>
                <w:rFonts w:asciiTheme="minorHAnsi" w:hAnsiTheme="minorHAnsi"/>
                <w:szCs w:val="22"/>
              </w:rPr>
            </w:pPr>
            <w:r w:rsidRPr="00B137AE">
              <w:rPr>
                <w:rFonts w:asciiTheme="minorHAnsi" w:hAnsiTheme="minorHAnsi"/>
                <w:szCs w:val="22"/>
              </w:rPr>
              <w:t xml:space="preserve">Follows </w:t>
            </w:r>
          </w:p>
          <w:p w14:paraId="4EB467A4" w14:textId="1E676757" w:rsidR="002A51E3" w:rsidRPr="00B137AE" w:rsidRDefault="002A51E3" w:rsidP="002A51E3">
            <w:pPr>
              <w:cnfStyle w:val="000000010000" w:firstRow="0" w:lastRow="0" w:firstColumn="0" w:lastColumn="0" w:oddVBand="0" w:evenVBand="0" w:oddHBand="0" w:evenHBand="1" w:firstRowFirstColumn="0" w:firstRowLastColumn="0" w:lastRowFirstColumn="0" w:lastRowLastColumn="0"/>
              <w:rPr>
                <w:szCs w:val="22"/>
              </w:rPr>
            </w:pPr>
            <w:r w:rsidRPr="00B137AE">
              <w:rPr>
                <w:rFonts w:asciiTheme="minorHAnsi" w:hAnsiTheme="minorHAnsi"/>
                <w:szCs w:val="22"/>
              </w:rPr>
              <w:t>Alternative Guidance</w:t>
            </w:r>
          </w:p>
        </w:tc>
        <w:tc>
          <w:tcPr>
            <w:tcW w:w="1810" w:type="dxa"/>
          </w:tcPr>
          <w:p w14:paraId="4EB467A5" w14:textId="797F1B84" w:rsidR="002A51E3" w:rsidRPr="00B137AE" w:rsidRDefault="002A51E3" w:rsidP="002A51E3">
            <w:pPr>
              <w:cnfStyle w:val="000000010000" w:firstRow="0" w:lastRow="0" w:firstColumn="0" w:lastColumn="0" w:oddVBand="0" w:evenVBand="0" w:oddHBand="0" w:evenHBand="1" w:firstRowFirstColumn="0" w:firstRowLastColumn="0" w:lastRowFirstColumn="0" w:lastRowLastColumn="0"/>
              <w:rPr>
                <w:szCs w:val="22"/>
              </w:rPr>
            </w:pPr>
            <w:r w:rsidRPr="00B137AE">
              <w:rPr>
                <w:rFonts w:asciiTheme="minorHAnsi" w:hAnsiTheme="minorHAnsi"/>
                <w:szCs w:val="22"/>
              </w:rPr>
              <w:t>Follows Alternative Guidance</w:t>
            </w:r>
          </w:p>
        </w:tc>
      </w:tr>
    </w:tbl>
    <w:p w14:paraId="1E9BEFF3" w14:textId="77777777" w:rsidR="008F6A11" w:rsidRDefault="008F6A11" w:rsidP="00FE3532">
      <w:pPr>
        <w:pStyle w:val="Heading1"/>
        <w:tabs>
          <w:tab w:val="left" w:pos="6675"/>
        </w:tabs>
        <w:ind w:left="-2160" w:firstLine="180"/>
        <w:rPr>
          <w:sz w:val="24"/>
        </w:rPr>
      </w:pPr>
    </w:p>
    <w:p w14:paraId="4EB467A8" w14:textId="77777777" w:rsidR="00FE3532" w:rsidRDefault="006A5955" w:rsidP="00FE3532">
      <w:pPr>
        <w:pStyle w:val="Heading1"/>
        <w:tabs>
          <w:tab w:val="left" w:pos="6675"/>
        </w:tabs>
        <w:ind w:left="-2160" w:firstLine="180"/>
        <w:rPr>
          <w:rFonts w:ascii="Garamond" w:hAnsi="Garamond"/>
          <w:bCs w:val="0"/>
          <w:color w:val="auto"/>
          <w:kern w:val="0"/>
          <w:sz w:val="24"/>
          <w:szCs w:val="20"/>
        </w:rPr>
      </w:pPr>
      <w:r>
        <w:rPr>
          <w:sz w:val="24"/>
        </w:rPr>
        <w:t>Discussion</w:t>
      </w:r>
      <w:r w:rsidR="00FE3532" w:rsidRPr="007B3038">
        <w:rPr>
          <w:rFonts w:ascii="Garamond" w:hAnsi="Garamond"/>
          <w:bCs w:val="0"/>
          <w:color w:val="auto"/>
          <w:kern w:val="0"/>
          <w:sz w:val="24"/>
          <w:szCs w:val="20"/>
        </w:rPr>
        <w:t xml:space="preserve"> </w:t>
      </w:r>
    </w:p>
    <w:p w14:paraId="1C56D417" w14:textId="1C4A40E3" w:rsidR="00F92B16" w:rsidRDefault="006A5955" w:rsidP="00F92B16">
      <w:pPr>
        <w:ind w:left="-810"/>
        <w:rPr>
          <w:sz w:val="24"/>
        </w:rPr>
      </w:pPr>
      <w:r>
        <w:rPr>
          <w:sz w:val="24"/>
        </w:rPr>
        <w:t xml:space="preserve">All </w:t>
      </w:r>
      <w:r w:rsidR="00E17AAF">
        <w:rPr>
          <w:sz w:val="24"/>
        </w:rPr>
        <w:t xml:space="preserve">DoD </w:t>
      </w:r>
      <w:r>
        <w:rPr>
          <w:sz w:val="24"/>
        </w:rPr>
        <w:t xml:space="preserve">guidance and regulations </w:t>
      </w:r>
      <w:r w:rsidR="00F07B6D">
        <w:rPr>
          <w:sz w:val="24"/>
        </w:rPr>
        <w:t>indicate that sale</w:t>
      </w:r>
      <w:r w:rsidR="00D71125">
        <w:rPr>
          <w:sz w:val="24"/>
        </w:rPr>
        <w:t>s</w:t>
      </w:r>
      <w:r w:rsidR="00F07B6D">
        <w:rPr>
          <w:sz w:val="24"/>
        </w:rPr>
        <w:t xml:space="preserve"> of merchandise or services to an authorized customer using a credit card should be recorded as a receivable</w:t>
      </w:r>
      <w:r>
        <w:rPr>
          <w:sz w:val="24"/>
        </w:rPr>
        <w:t xml:space="preserve">. </w:t>
      </w:r>
      <w:r w:rsidR="00F07B6D">
        <w:rPr>
          <w:sz w:val="24"/>
        </w:rPr>
        <w:t xml:space="preserve"> Based on discussion</w:t>
      </w:r>
      <w:r w:rsidR="00E45173">
        <w:rPr>
          <w:sz w:val="24"/>
        </w:rPr>
        <w:t>s</w:t>
      </w:r>
      <w:r w:rsidR="00F07B6D">
        <w:rPr>
          <w:sz w:val="24"/>
        </w:rPr>
        <w:t xml:space="preserve"> with each Service, it is noted that the processing time for </w:t>
      </w:r>
      <w:r>
        <w:rPr>
          <w:sz w:val="24"/>
        </w:rPr>
        <w:t>MasterCa</w:t>
      </w:r>
      <w:r w:rsidR="00F07B6D">
        <w:rPr>
          <w:sz w:val="24"/>
        </w:rPr>
        <w:t xml:space="preserve">rd and Visa transactions occur within 24 hours and are treated as cash, while transactions using American Express </w:t>
      </w:r>
      <w:r>
        <w:rPr>
          <w:sz w:val="24"/>
        </w:rPr>
        <w:t xml:space="preserve">and Discover </w:t>
      </w:r>
      <w:r w:rsidR="00F07B6D">
        <w:rPr>
          <w:sz w:val="24"/>
        </w:rPr>
        <w:t xml:space="preserve">Card </w:t>
      </w:r>
      <w:r>
        <w:rPr>
          <w:sz w:val="24"/>
        </w:rPr>
        <w:t>can take 2-</w:t>
      </w:r>
      <w:r w:rsidR="00F07B6D">
        <w:rPr>
          <w:sz w:val="24"/>
        </w:rPr>
        <w:t>4</w:t>
      </w:r>
      <w:r>
        <w:rPr>
          <w:sz w:val="24"/>
        </w:rPr>
        <w:t xml:space="preserve"> </w:t>
      </w:r>
      <w:r w:rsidR="00F07B6D">
        <w:rPr>
          <w:sz w:val="24"/>
        </w:rPr>
        <w:t xml:space="preserve">business days for </w:t>
      </w:r>
      <w:r w:rsidR="00F07B6D">
        <w:rPr>
          <w:sz w:val="24"/>
        </w:rPr>
        <w:lastRenderedPageBreak/>
        <w:t>reimbursement and deposit into MWR bank accounts.</w:t>
      </w:r>
      <w:r w:rsidR="00BF37CB">
        <w:rPr>
          <w:sz w:val="24"/>
        </w:rPr>
        <w:t xml:space="preserve"> Further discussions with Service members, particularly Navy, demonstrated that credit receivables over a four day period amount to less than 1% of all receivables.</w:t>
      </w:r>
    </w:p>
    <w:p w14:paraId="09FD9F18" w14:textId="77777777" w:rsidR="00312147" w:rsidRDefault="00312147" w:rsidP="00F92B16">
      <w:pPr>
        <w:ind w:left="-810"/>
        <w:rPr>
          <w:sz w:val="24"/>
        </w:rPr>
      </w:pPr>
    </w:p>
    <w:p w14:paraId="61CD1CE8" w14:textId="64BD42FA" w:rsidR="00312147" w:rsidRDefault="00171B64" w:rsidP="00F92B16">
      <w:pPr>
        <w:ind w:left="-810"/>
        <w:rPr>
          <w:sz w:val="24"/>
        </w:rPr>
      </w:pPr>
      <w:r>
        <w:rPr>
          <w:sz w:val="24"/>
        </w:rPr>
        <w:t>GAAP does not explicitly state credit card receivables must be classified as accounts receivable. However, it is noteworthy that</w:t>
      </w:r>
      <w:r w:rsidR="00312147">
        <w:rPr>
          <w:sz w:val="24"/>
        </w:rPr>
        <w:t xml:space="preserve"> GAAP’s definition of financing receivables includes credit card receivables</w:t>
      </w:r>
      <w:r>
        <w:rPr>
          <w:sz w:val="24"/>
        </w:rPr>
        <w:t>.</w:t>
      </w:r>
      <w:r w:rsidR="00312147">
        <w:rPr>
          <w:sz w:val="24"/>
        </w:rPr>
        <w:t xml:space="preserve"> </w:t>
      </w:r>
      <w:r>
        <w:rPr>
          <w:sz w:val="24"/>
        </w:rPr>
        <w:t>The definition of cash</w:t>
      </w:r>
      <w:r w:rsidR="00312147">
        <w:rPr>
          <w:sz w:val="24"/>
        </w:rPr>
        <w:t xml:space="preserve"> equivalents does not list credit card re</w:t>
      </w:r>
      <w:r w:rsidR="002639C0">
        <w:rPr>
          <w:sz w:val="24"/>
        </w:rPr>
        <w:t xml:space="preserve">ceivables as a common example. This indicates that FASB prefers classification of credit card receivables as accounts receivables rather than cash, though the case can be made that credit card receivables which become cash in less than 24 hours may meet the cash equivalent definitions of “readily convertible to known amounts of cash” and “so near maturity that they present insignificant risks in changes in value.” </w:t>
      </w:r>
    </w:p>
    <w:p w14:paraId="51CE3BAF" w14:textId="072D3814" w:rsidR="00BF37CB" w:rsidRDefault="00BF37CB" w:rsidP="00F92B16">
      <w:pPr>
        <w:ind w:left="-810"/>
        <w:rPr>
          <w:sz w:val="24"/>
        </w:rPr>
      </w:pPr>
    </w:p>
    <w:p w14:paraId="439A07E2" w14:textId="62560971" w:rsidR="00BF37CB" w:rsidRPr="007B3038" w:rsidRDefault="00BF37CB" w:rsidP="00F92B16">
      <w:pPr>
        <w:ind w:left="-810"/>
        <w:rPr>
          <w:sz w:val="24"/>
        </w:rPr>
      </w:pPr>
      <w:r>
        <w:rPr>
          <w:sz w:val="24"/>
        </w:rPr>
        <w:t>Additionally, the Certificates of Deposit paper concluded that certificates of deposit with a maturity date of 3 months or less should be considered cash equivalents</w:t>
      </w:r>
    </w:p>
    <w:p w14:paraId="4EB467AA" w14:textId="77777777" w:rsidR="00FE3532" w:rsidRDefault="00FE3532" w:rsidP="00FE3532">
      <w:pPr>
        <w:pStyle w:val="Heading1"/>
        <w:tabs>
          <w:tab w:val="left" w:pos="6675"/>
        </w:tabs>
        <w:ind w:left="-2160" w:firstLine="180"/>
        <w:rPr>
          <w:sz w:val="24"/>
        </w:rPr>
      </w:pPr>
    </w:p>
    <w:p w14:paraId="4EB467AB" w14:textId="77777777" w:rsidR="00FE3532" w:rsidRDefault="006A5955" w:rsidP="00FE3532">
      <w:pPr>
        <w:pStyle w:val="Heading1"/>
        <w:tabs>
          <w:tab w:val="left" w:pos="6675"/>
        </w:tabs>
        <w:ind w:left="-2160" w:firstLine="180"/>
        <w:rPr>
          <w:sz w:val="24"/>
        </w:rPr>
      </w:pPr>
      <w:r>
        <w:rPr>
          <w:sz w:val="24"/>
        </w:rPr>
        <w:t>Recommendation</w:t>
      </w:r>
    </w:p>
    <w:p w14:paraId="77CF0104" w14:textId="3376ECA1" w:rsidR="00F92B16" w:rsidRDefault="006A5955" w:rsidP="0036252D">
      <w:pPr>
        <w:ind w:left="-810"/>
        <w:rPr>
          <w:rFonts w:asciiTheme="minorHAnsi" w:hAnsiTheme="minorHAnsi"/>
          <w:sz w:val="24"/>
        </w:rPr>
      </w:pPr>
      <w:r w:rsidRPr="00E61C20">
        <w:rPr>
          <w:sz w:val="24"/>
        </w:rPr>
        <w:t xml:space="preserve">Given the </w:t>
      </w:r>
      <w:r w:rsidR="00BF37CB">
        <w:rPr>
          <w:sz w:val="24"/>
        </w:rPr>
        <w:t>regularity with which the credit card receivable is paid, the short period of time in which the receivable would be outstanding</w:t>
      </w:r>
      <w:r w:rsidR="006864BB" w:rsidRPr="00E61C20">
        <w:rPr>
          <w:sz w:val="24"/>
        </w:rPr>
        <w:t xml:space="preserve">, </w:t>
      </w:r>
      <w:r w:rsidR="00BF37CB">
        <w:rPr>
          <w:sz w:val="24"/>
        </w:rPr>
        <w:t>and the insignificant quantities involved when compared to the reporting effort, we recommend</w:t>
      </w:r>
      <w:r w:rsidR="00F07B6D" w:rsidRPr="00E61C20">
        <w:rPr>
          <w:sz w:val="24"/>
        </w:rPr>
        <w:t xml:space="preserve"> that all sale</w:t>
      </w:r>
      <w:r w:rsidR="00BF37CB">
        <w:rPr>
          <w:sz w:val="24"/>
        </w:rPr>
        <w:t>s</w:t>
      </w:r>
      <w:r w:rsidR="00F07B6D" w:rsidRPr="00E61C20">
        <w:rPr>
          <w:sz w:val="24"/>
        </w:rPr>
        <w:t xml:space="preserve"> of </w:t>
      </w:r>
      <w:r w:rsidR="007B4282">
        <w:rPr>
          <w:sz w:val="24"/>
        </w:rPr>
        <w:t>merchandise</w:t>
      </w:r>
      <w:r w:rsidR="00F07B6D" w:rsidRPr="00E61C20">
        <w:rPr>
          <w:sz w:val="24"/>
        </w:rPr>
        <w:t xml:space="preserve"> or services usin</w:t>
      </w:r>
      <w:r w:rsidR="00BF37CB">
        <w:rPr>
          <w:sz w:val="24"/>
        </w:rPr>
        <w:t xml:space="preserve">g credit cards be recorded as cash at the time of sale. Additionally, the risk of failure to pay lies with the credit card company and not with the Services, and therefore we believe cash treatment is appropriate as a receivable implies the risk of not receiving payment. .  </w:t>
      </w:r>
    </w:p>
    <w:p w14:paraId="14096B22" w14:textId="77777777" w:rsidR="00F92B16" w:rsidRDefault="00F92B16" w:rsidP="0036252D">
      <w:pPr>
        <w:ind w:left="-810"/>
        <w:rPr>
          <w:rFonts w:asciiTheme="minorHAnsi" w:hAnsiTheme="minorHAnsi"/>
          <w:sz w:val="24"/>
        </w:rPr>
      </w:pPr>
    </w:p>
    <w:p w14:paraId="3016115C" w14:textId="77777777" w:rsidR="00B86B42" w:rsidRDefault="00BF37CB" w:rsidP="00F92B16">
      <w:pPr>
        <w:ind w:left="-810"/>
        <w:rPr>
          <w:sz w:val="24"/>
        </w:rPr>
      </w:pPr>
      <w:r>
        <w:rPr>
          <w:sz w:val="24"/>
        </w:rPr>
        <w:t>This recommendation requires the removal of the Merchant Receivable Account</w:t>
      </w:r>
      <w:r w:rsidR="00236C06">
        <w:rPr>
          <w:sz w:val="24"/>
        </w:rPr>
        <w:t xml:space="preserve"> GLAC 115</w:t>
      </w:r>
      <w:r>
        <w:rPr>
          <w:sz w:val="24"/>
        </w:rPr>
        <w:t xml:space="preserve"> in the NAFSGL. </w:t>
      </w:r>
    </w:p>
    <w:p w14:paraId="30689892" w14:textId="77777777" w:rsidR="00B86B42" w:rsidRDefault="00B86B42" w:rsidP="00F92B16">
      <w:pPr>
        <w:ind w:left="-810"/>
        <w:rPr>
          <w:sz w:val="24"/>
        </w:rPr>
      </w:pPr>
    </w:p>
    <w:p w14:paraId="3F862182" w14:textId="77777777" w:rsidR="00B86B42" w:rsidRDefault="00B86B42" w:rsidP="00B86B42">
      <w:pPr>
        <w:ind w:left="-810"/>
        <w:rPr>
          <w:sz w:val="24"/>
        </w:rPr>
      </w:pPr>
      <w:r>
        <w:rPr>
          <w:sz w:val="24"/>
        </w:rPr>
        <w:t xml:space="preserve">NAFSGL definition for Merchant Card Receivables noted below: </w:t>
      </w:r>
    </w:p>
    <w:p w14:paraId="17C04674" w14:textId="77777777" w:rsidR="00B86B42" w:rsidRDefault="00B86B42" w:rsidP="00B86B42">
      <w:pPr>
        <w:ind w:left="-810"/>
        <w:rPr>
          <w:sz w:val="24"/>
        </w:rPr>
      </w:pPr>
    </w:p>
    <w:p w14:paraId="465B9BE5" w14:textId="69784485" w:rsidR="00B86B42" w:rsidRPr="00CD6B36" w:rsidRDefault="009347F4" w:rsidP="00CD6B36">
      <w:pPr>
        <w:tabs>
          <w:tab w:val="left" w:pos="1260"/>
        </w:tabs>
        <w:ind w:left="720"/>
        <w:rPr>
          <w:rFonts w:asciiTheme="minorHAnsi" w:hAnsiTheme="minorHAnsi" w:cstheme="majorHAnsi"/>
          <w:b/>
          <w:szCs w:val="22"/>
        </w:rPr>
      </w:pPr>
      <w:r>
        <w:rPr>
          <w:rFonts w:asciiTheme="minorHAnsi" w:hAnsiTheme="minorHAnsi" w:cstheme="majorHAnsi"/>
          <w:b/>
          <w:szCs w:val="22"/>
        </w:rPr>
        <w:t xml:space="preserve">118. </w:t>
      </w:r>
      <w:r w:rsidR="00B86B42" w:rsidRPr="00CD6B36">
        <w:rPr>
          <w:rFonts w:asciiTheme="minorHAnsi" w:hAnsiTheme="minorHAnsi" w:cstheme="majorHAnsi"/>
          <w:b/>
          <w:szCs w:val="22"/>
        </w:rPr>
        <w:t xml:space="preserve">Merchant Card Receivables:  </w:t>
      </w:r>
      <w:r w:rsidR="00B86B42" w:rsidRPr="00CD6B36">
        <w:rPr>
          <w:rFonts w:asciiTheme="minorHAnsi" w:hAnsiTheme="minorHAnsi" w:cstheme="majorHAnsi"/>
          <w:szCs w:val="22"/>
        </w:rPr>
        <w:t xml:space="preserve">Amounts owed by banking companies for sales of goods, services, and/or special functions from credit companies.  This account will be used for all credit card sales regardless of the credit card company involved. </w:t>
      </w:r>
    </w:p>
    <w:p w14:paraId="1EE29989" w14:textId="77777777" w:rsidR="00B86B42" w:rsidRDefault="00B86B42" w:rsidP="00F92B16">
      <w:pPr>
        <w:ind w:left="-810"/>
        <w:rPr>
          <w:sz w:val="24"/>
        </w:rPr>
      </w:pPr>
    </w:p>
    <w:p w14:paraId="5F99DB1F" w14:textId="13A381C2" w:rsidR="00F92B16" w:rsidRDefault="00CC113F" w:rsidP="00F92B16">
      <w:pPr>
        <w:ind w:left="-810"/>
        <w:rPr>
          <w:sz w:val="24"/>
        </w:rPr>
      </w:pPr>
      <w:r>
        <w:rPr>
          <w:sz w:val="24"/>
        </w:rPr>
        <w:t>Additionally, Volume 13</w:t>
      </w:r>
      <w:r w:rsidR="00236C06">
        <w:rPr>
          <w:sz w:val="24"/>
        </w:rPr>
        <w:t>, Chapter 3, para 030</w:t>
      </w:r>
      <w:r w:rsidR="00FE0246">
        <w:rPr>
          <w:sz w:val="24"/>
        </w:rPr>
        <w:t>3</w:t>
      </w:r>
      <w:r w:rsidR="00236C06">
        <w:rPr>
          <w:sz w:val="24"/>
        </w:rPr>
        <w:t>0</w:t>
      </w:r>
      <w:r w:rsidR="00FE0246">
        <w:rPr>
          <w:sz w:val="24"/>
        </w:rPr>
        <w:t>3 Receivables</w:t>
      </w:r>
      <w:r w:rsidR="00CD6B36">
        <w:rPr>
          <w:sz w:val="24"/>
        </w:rPr>
        <w:t>.</w:t>
      </w:r>
      <w:r>
        <w:rPr>
          <w:sz w:val="24"/>
        </w:rPr>
        <w:t xml:space="preserve"> </w:t>
      </w:r>
      <w:r w:rsidR="00FE0246">
        <w:rPr>
          <w:sz w:val="24"/>
        </w:rPr>
        <w:t>in the</w:t>
      </w:r>
      <w:r>
        <w:rPr>
          <w:sz w:val="24"/>
        </w:rPr>
        <w:t xml:space="preserve"> FMR may require revision to either remove or insert an exception to </w:t>
      </w:r>
      <w:r w:rsidR="00FE0246">
        <w:rPr>
          <w:sz w:val="24"/>
        </w:rPr>
        <w:t>credit card receivables</w:t>
      </w:r>
      <w:r>
        <w:rPr>
          <w:sz w:val="24"/>
        </w:rPr>
        <w:t xml:space="preserve">. </w:t>
      </w:r>
    </w:p>
    <w:p w14:paraId="366F927C" w14:textId="77777777" w:rsidR="00CC113F" w:rsidRDefault="00CC113F" w:rsidP="00F92B16">
      <w:pPr>
        <w:ind w:left="-810"/>
        <w:rPr>
          <w:sz w:val="24"/>
        </w:rPr>
      </w:pPr>
    </w:p>
    <w:p w14:paraId="4EB467AE" w14:textId="1534A403" w:rsidR="006A5955" w:rsidRDefault="006A5955" w:rsidP="005F5D1F">
      <w:pPr>
        <w:pStyle w:val="Heading1"/>
        <w:tabs>
          <w:tab w:val="left" w:pos="6675"/>
        </w:tabs>
        <w:spacing w:line="240" w:lineRule="auto"/>
        <w:ind w:left="-2160" w:firstLine="187"/>
        <w:rPr>
          <w:sz w:val="24"/>
        </w:rPr>
      </w:pPr>
      <w:r>
        <w:rPr>
          <w:sz w:val="24"/>
        </w:rPr>
        <w:lastRenderedPageBreak/>
        <w:t>Service Concurrence</w:t>
      </w:r>
    </w:p>
    <w:tbl>
      <w:tblPr>
        <w:tblStyle w:val="TableGrid"/>
        <w:tblW w:w="0" w:type="auto"/>
        <w:tblInd w:w="-1173" w:type="dxa"/>
        <w:tblLook w:val="04A0" w:firstRow="1" w:lastRow="0" w:firstColumn="1" w:lastColumn="0" w:noHBand="0" w:noVBand="1"/>
      </w:tblPr>
      <w:tblGrid>
        <w:gridCol w:w="1918"/>
        <w:gridCol w:w="2760"/>
        <w:gridCol w:w="7381"/>
      </w:tblGrid>
      <w:tr w:rsidR="005F5D1F" w14:paraId="4EB467B2" w14:textId="77777777" w:rsidTr="009E3EAC">
        <w:tc>
          <w:tcPr>
            <w:tcW w:w="19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AF" w14:textId="77777777" w:rsidR="005F5D1F" w:rsidRDefault="005F5D1F"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Service</w:t>
            </w:r>
          </w:p>
        </w:tc>
        <w:tc>
          <w:tcPr>
            <w:tcW w:w="27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0" w14:textId="2BFDE81F" w:rsidR="005F5D1F" w:rsidRDefault="005F5D1F" w:rsidP="003C3A5C">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Concurrence</w:t>
            </w:r>
          </w:p>
        </w:tc>
        <w:tc>
          <w:tcPr>
            <w:tcW w:w="7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4EB467B1" w14:textId="5A4A2D4B" w:rsidR="005F5D1F" w:rsidRDefault="009E3EAC" w:rsidP="005F5D1F">
            <w:pPr>
              <w:pStyle w:val="Heading1"/>
              <w:tabs>
                <w:tab w:val="left" w:pos="6675"/>
              </w:tabs>
              <w:jc w:val="center"/>
              <w:rPr>
                <w:rFonts w:asciiTheme="minorHAnsi" w:hAnsiTheme="minorHAnsi" w:cstheme="majorHAnsi"/>
                <w:color w:val="auto"/>
                <w:sz w:val="24"/>
              </w:rPr>
            </w:pPr>
            <w:r>
              <w:rPr>
                <w:rFonts w:asciiTheme="minorHAnsi" w:hAnsiTheme="minorHAnsi" w:cstheme="majorHAnsi"/>
                <w:color w:val="auto"/>
                <w:sz w:val="24"/>
              </w:rPr>
              <w:t>Reason for N</w:t>
            </w:r>
            <w:r w:rsidR="005F5D1F">
              <w:rPr>
                <w:rFonts w:asciiTheme="minorHAnsi" w:hAnsiTheme="minorHAnsi" w:cstheme="majorHAnsi"/>
                <w:color w:val="auto"/>
                <w:sz w:val="24"/>
              </w:rPr>
              <w:t>on-concurrence</w:t>
            </w:r>
          </w:p>
        </w:tc>
      </w:tr>
      <w:tr w:rsidR="005F5D1F" w14:paraId="4EB467B6" w14:textId="77777777" w:rsidTr="009E3EAC">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3" w14:textId="77777777" w:rsidR="005F5D1F" w:rsidRDefault="005F5D1F"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Air Force</w:t>
            </w:r>
          </w:p>
        </w:tc>
        <w:tc>
          <w:tcPr>
            <w:tcW w:w="2760" w:type="dxa"/>
            <w:tcBorders>
              <w:top w:val="single" w:sz="4" w:space="0" w:color="auto"/>
              <w:left w:val="single" w:sz="4" w:space="0" w:color="auto"/>
              <w:bottom w:val="single" w:sz="4" w:space="0" w:color="auto"/>
              <w:right w:val="single" w:sz="4" w:space="0" w:color="auto"/>
            </w:tcBorders>
          </w:tcPr>
          <w:p w14:paraId="655D585D" w14:textId="6E1E8921" w:rsidR="00A533AA" w:rsidRDefault="009E3EAC" w:rsidP="00FB70DD">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Concurrence i</w:t>
            </w:r>
            <w:r w:rsidR="00236C06">
              <w:rPr>
                <w:rFonts w:asciiTheme="minorHAnsi" w:hAnsiTheme="minorHAnsi" w:cstheme="majorHAnsi"/>
                <w:color w:val="auto"/>
                <w:sz w:val="24"/>
              </w:rPr>
              <w:t>n Oct 2014</w:t>
            </w:r>
            <w:r w:rsidR="00A533AA">
              <w:rPr>
                <w:rFonts w:asciiTheme="minorHAnsi" w:hAnsiTheme="minorHAnsi" w:cstheme="majorHAnsi"/>
                <w:color w:val="auto"/>
                <w:sz w:val="24"/>
              </w:rPr>
              <w:t>.</w:t>
            </w:r>
          </w:p>
          <w:p w14:paraId="4EB467B4" w14:textId="13635916" w:rsidR="005F5D1F" w:rsidRPr="00A533AA" w:rsidRDefault="00A533AA" w:rsidP="00FB70DD">
            <w:pPr>
              <w:pStyle w:val="Heading1"/>
              <w:tabs>
                <w:tab w:val="left" w:pos="6675"/>
              </w:tabs>
              <w:rPr>
                <w:rFonts w:asciiTheme="minorHAnsi" w:hAnsiTheme="minorHAnsi" w:cstheme="majorHAnsi"/>
                <w:b/>
                <w:color w:val="auto"/>
                <w:sz w:val="24"/>
              </w:rPr>
            </w:pPr>
            <w:r w:rsidRPr="00A533AA">
              <w:rPr>
                <w:rFonts w:asciiTheme="minorHAnsi" w:hAnsiTheme="minorHAnsi" w:cstheme="majorHAnsi"/>
                <w:b/>
                <w:color w:val="auto"/>
                <w:sz w:val="24"/>
              </w:rPr>
              <w:t>Re-concurred 9/20/2018.</w:t>
            </w:r>
          </w:p>
        </w:tc>
        <w:tc>
          <w:tcPr>
            <w:tcW w:w="7381" w:type="dxa"/>
            <w:tcBorders>
              <w:top w:val="single" w:sz="4" w:space="0" w:color="auto"/>
              <w:left w:val="single" w:sz="4" w:space="0" w:color="auto"/>
              <w:bottom w:val="single" w:sz="4" w:space="0" w:color="auto"/>
              <w:right w:val="single" w:sz="4" w:space="0" w:color="auto"/>
            </w:tcBorders>
          </w:tcPr>
          <w:p w14:paraId="4EB467B5" w14:textId="7A996056" w:rsidR="005F5D1F" w:rsidRDefault="005F5D1F" w:rsidP="003C3A5C">
            <w:pPr>
              <w:pStyle w:val="Heading1"/>
              <w:tabs>
                <w:tab w:val="left" w:pos="6675"/>
              </w:tabs>
              <w:rPr>
                <w:rFonts w:asciiTheme="minorHAnsi" w:hAnsiTheme="minorHAnsi" w:cstheme="majorHAnsi"/>
                <w:color w:val="auto"/>
                <w:sz w:val="24"/>
              </w:rPr>
            </w:pPr>
          </w:p>
        </w:tc>
      </w:tr>
      <w:tr w:rsidR="005F5D1F" w14:paraId="4EB467BA" w14:textId="77777777" w:rsidTr="009E3EAC">
        <w:trPr>
          <w:trHeight w:val="444"/>
        </w:trPr>
        <w:tc>
          <w:tcPr>
            <w:tcW w:w="1918" w:type="dxa"/>
            <w:tcBorders>
              <w:top w:val="single" w:sz="4" w:space="0" w:color="auto"/>
              <w:left w:val="single" w:sz="4" w:space="0" w:color="auto"/>
              <w:bottom w:val="single" w:sz="4" w:space="0" w:color="auto"/>
              <w:right w:val="single" w:sz="4" w:space="0" w:color="auto"/>
            </w:tcBorders>
            <w:hideMark/>
          </w:tcPr>
          <w:p w14:paraId="4EB467B7" w14:textId="77777777" w:rsidR="005F5D1F" w:rsidRDefault="005F5D1F"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Army</w:t>
            </w:r>
          </w:p>
        </w:tc>
        <w:tc>
          <w:tcPr>
            <w:tcW w:w="2760" w:type="dxa"/>
            <w:tcBorders>
              <w:top w:val="single" w:sz="4" w:space="0" w:color="auto"/>
              <w:left w:val="single" w:sz="4" w:space="0" w:color="auto"/>
              <w:bottom w:val="single" w:sz="4" w:space="0" w:color="auto"/>
              <w:right w:val="single" w:sz="4" w:space="0" w:color="auto"/>
            </w:tcBorders>
          </w:tcPr>
          <w:p w14:paraId="5A98FAE4" w14:textId="77777777" w:rsidR="005F5D1F" w:rsidRDefault="00236C06" w:rsidP="00FC64A5">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Concurrence in Oct 2014</w:t>
            </w:r>
            <w:r w:rsidR="00A533AA">
              <w:rPr>
                <w:rFonts w:asciiTheme="minorHAnsi" w:hAnsiTheme="minorHAnsi" w:cstheme="majorHAnsi"/>
                <w:color w:val="auto"/>
                <w:sz w:val="24"/>
              </w:rPr>
              <w:t>.</w:t>
            </w:r>
          </w:p>
          <w:p w14:paraId="4EB467B8" w14:textId="3718CDF1" w:rsidR="00A533AA" w:rsidRPr="00A533AA" w:rsidRDefault="00A533AA" w:rsidP="00A533AA">
            <w:pPr>
              <w:pStyle w:val="BodyText"/>
              <w:spacing w:after="0"/>
              <w:rPr>
                <w:b/>
              </w:rPr>
            </w:pPr>
            <w:r w:rsidRPr="00A533AA">
              <w:rPr>
                <w:b/>
              </w:rPr>
              <w:t>Re-concurred 9/20/2018.</w:t>
            </w:r>
          </w:p>
        </w:tc>
        <w:tc>
          <w:tcPr>
            <w:tcW w:w="7381" w:type="dxa"/>
            <w:tcBorders>
              <w:top w:val="single" w:sz="4" w:space="0" w:color="auto"/>
              <w:left w:val="single" w:sz="4" w:space="0" w:color="auto"/>
              <w:bottom w:val="single" w:sz="4" w:space="0" w:color="auto"/>
              <w:right w:val="single" w:sz="4" w:space="0" w:color="auto"/>
            </w:tcBorders>
          </w:tcPr>
          <w:p w14:paraId="4EB467B9" w14:textId="1F4F9DF4" w:rsidR="005F5D1F" w:rsidRDefault="005F5D1F" w:rsidP="003C3A5C">
            <w:pPr>
              <w:pStyle w:val="Heading1"/>
              <w:tabs>
                <w:tab w:val="left" w:pos="6675"/>
              </w:tabs>
              <w:rPr>
                <w:rFonts w:asciiTheme="minorHAnsi" w:hAnsiTheme="minorHAnsi" w:cstheme="majorHAnsi"/>
                <w:color w:val="auto"/>
                <w:sz w:val="24"/>
              </w:rPr>
            </w:pPr>
          </w:p>
        </w:tc>
      </w:tr>
      <w:tr w:rsidR="005F5D1F" w14:paraId="4EB467BE" w14:textId="77777777" w:rsidTr="009E3EAC">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B" w14:textId="77777777" w:rsidR="005F5D1F" w:rsidRDefault="005F5D1F"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 xml:space="preserve">Marines </w:t>
            </w:r>
          </w:p>
        </w:tc>
        <w:tc>
          <w:tcPr>
            <w:tcW w:w="2760" w:type="dxa"/>
            <w:tcBorders>
              <w:top w:val="single" w:sz="4" w:space="0" w:color="auto"/>
              <w:left w:val="single" w:sz="4" w:space="0" w:color="auto"/>
              <w:bottom w:val="single" w:sz="4" w:space="0" w:color="auto"/>
              <w:right w:val="single" w:sz="4" w:space="0" w:color="auto"/>
            </w:tcBorders>
          </w:tcPr>
          <w:p w14:paraId="2D9F9396" w14:textId="77777777" w:rsidR="005F5D1F" w:rsidRDefault="00236C06" w:rsidP="0072194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Concurrence in Oct 2014</w:t>
            </w:r>
            <w:r w:rsidR="00A533AA">
              <w:rPr>
                <w:rFonts w:asciiTheme="minorHAnsi" w:hAnsiTheme="minorHAnsi" w:cstheme="majorHAnsi"/>
                <w:color w:val="auto"/>
                <w:sz w:val="24"/>
              </w:rPr>
              <w:t>.</w:t>
            </w:r>
          </w:p>
          <w:p w14:paraId="4EB467BC" w14:textId="1CFD9766" w:rsidR="00A533AA" w:rsidRPr="00A533AA" w:rsidRDefault="00A533AA" w:rsidP="00A533AA">
            <w:pPr>
              <w:pStyle w:val="BodyText"/>
              <w:spacing w:after="0"/>
              <w:rPr>
                <w:b/>
              </w:rPr>
            </w:pPr>
            <w:r w:rsidRPr="00A533AA">
              <w:rPr>
                <w:b/>
              </w:rPr>
              <w:t>Re-concurred 9/20/2018.</w:t>
            </w:r>
          </w:p>
        </w:tc>
        <w:tc>
          <w:tcPr>
            <w:tcW w:w="7381" w:type="dxa"/>
            <w:tcBorders>
              <w:top w:val="single" w:sz="4" w:space="0" w:color="auto"/>
              <w:left w:val="single" w:sz="4" w:space="0" w:color="auto"/>
              <w:bottom w:val="single" w:sz="4" w:space="0" w:color="auto"/>
              <w:right w:val="single" w:sz="4" w:space="0" w:color="auto"/>
            </w:tcBorders>
          </w:tcPr>
          <w:p w14:paraId="4EB467BD" w14:textId="76491909" w:rsidR="005F5D1F" w:rsidRDefault="005F5D1F" w:rsidP="003C3A5C">
            <w:pPr>
              <w:pStyle w:val="Heading1"/>
              <w:tabs>
                <w:tab w:val="left" w:pos="6675"/>
              </w:tabs>
              <w:rPr>
                <w:rFonts w:asciiTheme="minorHAnsi" w:hAnsiTheme="minorHAnsi" w:cstheme="majorHAnsi"/>
                <w:color w:val="auto"/>
                <w:sz w:val="24"/>
              </w:rPr>
            </w:pPr>
          </w:p>
        </w:tc>
      </w:tr>
      <w:tr w:rsidR="005F5D1F" w14:paraId="4EB467C2" w14:textId="77777777" w:rsidTr="009E3EAC">
        <w:trPr>
          <w:trHeight w:val="435"/>
        </w:trPr>
        <w:tc>
          <w:tcPr>
            <w:tcW w:w="1918" w:type="dxa"/>
            <w:tcBorders>
              <w:top w:val="single" w:sz="4" w:space="0" w:color="auto"/>
              <w:left w:val="single" w:sz="4" w:space="0" w:color="auto"/>
              <w:bottom w:val="single" w:sz="4" w:space="0" w:color="auto"/>
              <w:right w:val="single" w:sz="4" w:space="0" w:color="auto"/>
            </w:tcBorders>
            <w:hideMark/>
          </w:tcPr>
          <w:p w14:paraId="4EB467BF" w14:textId="77777777" w:rsidR="005F5D1F" w:rsidRDefault="005F5D1F" w:rsidP="003C3A5C">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Navy</w:t>
            </w:r>
          </w:p>
        </w:tc>
        <w:tc>
          <w:tcPr>
            <w:tcW w:w="2760" w:type="dxa"/>
            <w:tcBorders>
              <w:top w:val="single" w:sz="4" w:space="0" w:color="auto"/>
              <w:left w:val="single" w:sz="4" w:space="0" w:color="auto"/>
              <w:bottom w:val="single" w:sz="4" w:space="0" w:color="auto"/>
              <w:right w:val="single" w:sz="4" w:space="0" w:color="auto"/>
            </w:tcBorders>
          </w:tcPr>
          <w:p w14:paraId="7C9B9FAC" w14:textId="77777777" w:rsidR="005F5D1F" w:rsidRDefault="00236C06" w:rsidP="00FB70DD">
            <w:pPr>
              <w:pStyle w:val="Heading1"/>
              <w:tabs>
                <w:tab w:val="left" w:pos="6675"/>
              </w:tabs>
              <w:rPr>
                <w:rFonts w:asciiTheme="minorHAnsi" w:hAnsiTheme="minorHAnsi" w:cstheme="majorHAnsi"/>
                <w:color w:val="auto"/>
                <w:sz w:val="24"/>
              </w:rPr>
            </w:pPr>
            <w:r>
              <w:rPr>
                <w:rFonts w:asciiTheme="minorHAnsi" w:hAnsiTheme="minorHAnsi" w:cstheme="majorHAnsi"/>
                <w:color w:val="auto"/>
                <w:sz w:val="24"/>
              </w:rPr>
              <w:t>Concurrence in Oct 2014</w:t>
            </w:r>
            <w:r w:rsidR="00A533AA">
              <w:rPr>
                <w:rFonts w:asciiTheme="minorHAnsi" w:hAnsiTheme="minorHAnsi" w:cstheme="majorHAnsi"/>
                <w:color w:val="auto"/>
                <w:sz w:val="24"/>
              </w:rPr>
              <w:t>.</w:t>
            </w:r>
          </w:p>
          <w:p w14:paraId="4EB467C0" w14:textId="079B04C5" w:rsidR="00A533AA" w:rsidRPr="00A533AA" w:rsidRDefault="00A533AA" w:rsidP="00A533AA">
            <w:pPr>
              <w:pStyle w:val="BodyText"/>
              <w:spacing w:after="0"/>
              <w:rPr>
                <w:b/>
              </w:rPr>
            </w:pPr>
            <w:r w:rsidRPr="00A533AA">
              <w:rPr>
                <w:b/>
              </w:rPr>
              <w:t>Re-concurred 9/20/2018.</w:t>
            </w:r>
          </w:p>
        </w:tc>
        <w:tc>
          <w:tcPr>
            <w:tcW w:w="7381" w:type="dxa"/>
            <w:tcBorders>
              <w:top w:val="single" w:sz="4" w:space="0" w:color="auto"/>
              <w:left w:val="single" w:sz="4" w:space="0" w:color="auto"/>
              <w:bottom w:val="single" w:sz="4" w:space="0" w:color="auto"/>
              <w:right w:val="single" w:sz="4" w:space="0" w:color="auto"/>
            </w:tcBorders>
          </w:tcPr>
          <w:p w14:paraId="4EB467C1" w14:textId="08F7D5DF" w:rsidR="005F5D1F" w:rsidRDefault="005F5D1F" w:rsidP="00FB70DD">
            <w:pPr>
              <w:pStyle w:val="Heading1"/>
              <w:tabs>
                <w:tab w:val="left" w:pos="6675"/>
              </w:tabs>
              <w:rPr>
                <w:rFonts w:asciiTheme="minorHAnsi" w:hAnsiTheme="minorHAnsi" w:cstheme="majorHAnsi"/>
                <w:color w:val="auto"/>
                <w:sz w:val="24"/>
              </w:rPr>
            </w:pPr>
          </w:p>
        </w:tc>
      </w:tr>
    </w:tbl>
    <w:p w14:paraId="36987454" w14:textId="77777777" w:rsidR="005F5D1F" w:rsidRDefault="005F5D1F" w:rsidP="005F5D1F">
      <w:pPr>
        <w:pStyle w:val="Heading1"/>
        <w:tabs>
          <w:tab w:val="left" w:pos="6675"/>
        </w:tabs>
        <w:ind w:left="-2160" w:firstLine="180"/>
        <w:rPr>
          <w:sz w:val="24"/>
        </w:rPr>
      </w:pPr>
    </w:p>
    <w:p w14:paraId="6371EB0A" w14:textId="77777777" w:rsidR="005F5D1F" w:rsidRDefault="005F5D1F" w:rsidP="005F5D1F">
      <w:pPr>
        <w:pStyle w:val="Heading1"/>
        <w:tabs>
          <w:tab w:val="left" w:pos="6675"/>
        </w:tabs>
        <w:ind w:left="-2160" w:firstLine="180"/>
        <w:rPr>
          <w:sz w:val="24"/>
        </w:rPr>
      </w:pPr>
      <w:r>
        <w:rPr>
          <w:sz w:val="24"/>
        </w:rPr>
        <w:t>USD(P&amp;R)/MC&amp;FP Disposition</w:t>
      </w:r>
    </w:p>
    <w:p w14:paraId="1727ECDA" w14:textId="25DF257B" w:rsidR="005F5D1F" w:rsidRDefault="009E3EAC" w:rsidP="009E3EAC">
      <w:pPr>
        <w:pStyle w:val="ChapterTitle"/>
        <w:tabs>
          <w:tab w:val="center" w:pos="6205"/>
        </w:tabs>
        <w:rPr>
          <w:sz w:val="24"/>
        </w:rPr>
      </w:pPr>
      <w:r>
        <w:rPr>
          <w:rFonts w:asciiTheme="minorHAnsi" w:hAnsiTheme="minorHAnsi"/>
          <w:sz w:val="24"/>
        </w:rPr>
        <w:t>Remove GLAC 11</w:t>
      </w:r>
      <w:r w:rsidR="009347F4">
        <w:rPr>
          <w:rFonts w:asciiTheme="minorHAnsi" w:hAnsiTheme="minorHAnsi"/>
          <w:sz w:val="24"/>
        </w:rPr>
        <w:t>8</w:t>
      </w:r>
      <w:r>
        <w:rPr>
          <w:rFonts w:asciiTheme="minorHAnsi" w:hAnsiTheme="minorHAnsi"/>
          <w:sz w:val="24"/>
        </w:rPr>
        <w:t xml:space="preserve"> from NAFSGL</w:t>
      </w:r>
      <w:r>
        <w:rPr>
          <w:rFonts w:asciiTheme="minorHAnsi" w:hAnsiTheme="minorHAnsi"/>
          <w:sz w:val="24"/>
        </w:rPr>
        <w:tab/>
      </w:r>
    </w:p>
    <w:p w14:paraId="71B62ADA" w14:textId="77777777" w:rsidR="005F5D1F" w:rsidRDefault="005F5D1F" w:rsidP="005F5D1F">
      <w:pPr>
        <w:ind w:left="-1980"/>
        <w:rPr>
          <w:rFonts w:ascii="Arial Black" w:hAnsi="Arial Black"/>
          <w:b/>
          <w:color w:val="4F2D7F"/>
          <w:sz w:val="24"/>
        </w:rPr>
      </w:pPr>
      <w:r>
        <w:rPr>
          <w:rFonts w:ascii="Arial Black" w:hAnsi="Arial Black"/>
          <w:b/>
          <w:color w:val="4F2D7F"/>
          <w:sz w:val="24"/>
        </w:rPr>
        <w:t>DFAS Disposition</w:t>
      </w:r>
    </w:p>
    <w:p w14:paraId="0B178859" w14:textId="5CED3E05" w:rsidR="009E3EAC" w:rsidRPr="00C93656" w:rsidRDefault="009E3EAC" w:rsidP="009E3EAC">
      <w:pPr>
        <w:pStyle w:val="ChapterTitle"/>
        <w:rPr>
          <w:rFonts w:asciiTheme="minorHAnsi" w:hAnsiTheme="minorHAnsi"/>
          <w:b/>
          <w:color w:val="4F2D7F"/>
          <w:sz w:val="24"/>
        </w:rPr>
      </w:pPr>
      <w:r>
        <w:rPr>
          <w:rFonts w:asciiTheme="minorHAnsi" w:hAnsiTheme="minorHAnsi"/>
          <w:sz w:val="24"/>
        </w:rPr>
        <w:t>Revise DoD FMR Volume 13, Chapter 3, para 030</w:t>
      </w:r>
      <w:r w:rsidR="00FE0246">
        <w:rPr>
          <w:rFonts w:asciiTheme="minorHAnsi" w:hAnsiTheme="minorHAnsi"/>
          <w:sz w:val="24"/>
        </w:rPr>
        <w:t>3</w:t>
      </w:r>
      <w:r>
        <w:rPr>
          <w:rFonts w:asciiTheme="minorHAnsi" w:hAnsiTheme="minorHAnsi"/>
          <w:sz w:val="24"/>
        </w:rPr>
        <w:t>0</w:t>
      </w:r>
      <w:r w:rsidR="00FE0246">
        <w:rPr>
          <w:rFonts w:asciiTheme="minorHAnsi" w:hAnsiTheme="minorHAnsi"/>
          <w:sz w:val="24"/>
        </w:rPr>
        <w:t>3</w:t>
      </w:r>
    </w:p>
    <w:p w14:paraId="5D3DD274" w14:textId="77777777" w:rsidR="005F5D1F" w:rsidRPr="007B3038" w:rsidRDefault="005F5D1F" w:rsidP="005F5D1F">
      <w:pPr>
        <w:rPr>
          <w:sz w:val="24"/>
        </w:rPr>
      </w:pPr>
      <w:r w:rsidRPr="007B3038">
        <w:rPr>
          <w:sz w:val="24"/>
        </w:rPr>
        <w:t xml:space="preserve">   </w:t>
      </w:r>
    </w:p>
    <w:p w14:paraId="27BF8C93" w14:textId="77777777" w:rsidR="005F5D1F" w:rsidRDefault="005F5D1F" w:rsidP="005F5D1F">
      <w:pPr>
        <w:pStyle w:val="Heading1"/>
        <w:tabs>
          <w:tab w:val="left" w:pos="6675"/>
        </w:tabs>
        <w:ind w:left="-2160" w:firstLine="180"/>
        <w:rPr>
          <w:sz w:val="24"/>
        </w:rPr>
      </w:pPr>
      <w:r>
        <w:rPr>
          <w:sz w:val="24"/>
        </w:rPr>
        <w:t>Forward to</w:t>
      </w:r>
      <w:r w:rsidRPr="007B3038">
        <w:rPr>
          <w:sz w:val="24"/>
        </w:rPr>
        <w:t xml:space="preserve"> DoD</w:t>
      </w:r>
      <w:r>
        <w:rPr>
          <w:sz w:val="24"/>
        </w:rPr>
        <w:t>IG</w:t>
      </w:r>
      <w:r w:rsidRPr="007B3038">
        <w:rPr>
          <w:sz w:val="24"/>
        </w:rPr>
        <w:t>?</w:t>
      </w:r>
    </w:p>
    <w:p w14:paraId="07AF095B" w14:textId="77777777" w:rsidR="009E3EAC" w:rsidRPr="00C93656" w:rsidRDefault="009E3EAC" w:rsidP="009E3EAC">
      <w:pPr>
        <w:pStyle w:val="ChapterTitle"/>
        <w:rPr>
          <w:rFonts w:asciiTheme="minorHAnsi" w:hAnsiTheme="minorHAnsi"/>
          <w:sz w:val="24"/>
        </w:rPr>
      </w:pPr>
      <w:r w:rsidRPr="00C93656">
        <w:rPr>
          <w:rFonts w:asciiTheme="minorHAnsi" w:hAnsiTheme="minorHAnsi"/>
          <w:sz w:val="24"/>
        </w:rPr>
        <w:t>No DoDIG equities</w:t>
      </w:r>
      <w:r>
        <w:rPr>
          <w:rFonts w:asciiTheme="minorHAnsi" w:hAnsiTheme="minorHAnsi"/>
          <w:sz w:val="24"/>
        </w:rPr>
        <w:t>.</w:t>
      </w:r>
    </w:p>
    <w:p w14:paraId="4EB467CD" w14:textId="77777777" w:rsidR="002453C4" w:rsidRPr="00F47C97" w:rsidRDefault="002453C4" w:rsidP="002453C4">
      <w:pPr>
        <w:pStyle w:val="Heading1"/>
        <w:tabs>
          <w:tab w:val="left" w:pos="6675"/>
        </w:tabs>
        <w:ind w:left="-2160" w:firstLine="180"/>
        <w:rPr>
          <w:sz w:val="24"/>
        </w:rPr>
      </w:pPr>
    </w:p>
    <w:p w14:paraId="4EB467CF" w14:textId="77777777" w:rsidR="00422176" w:rsidRPr="00F47C97" w:rsidRDefault="00422176" w:rsidP="005B3096">
      <w:pPr>
        <w:rPr>
          <w:sz w:val="24"/>
        </w:rPr>
      </w:pPr>
    </w:p>
    <w:sectPr w:rsidR="00422176" w:rsidRPr="00F47C97"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67006" w14:textId="77777777" w:rsidR="008854ED" w:rsidRDefault="008854ED">
      <w:r>
        <w:separator/>
      </w:r>
    </w:p>
  </w:endnote>
  <w:endnote w:type="continuationSeparator" w:id="0">
    <w:p w14:paraId="0306584F" w14:textId="77777777" w:rsidR="008854ED" w:rsidRDefault="0088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4EB467D6" w14:textId="241B28DA" w:rsidR="00916522" w:rsidRDefault="00834B9A" w:rsidP="00916522">
        <w:pPr>
          <w:pStyle w:val="Footer"/>
          <w:jc w:val="right"/>
          <w:rPr>
            <w:noProof/>
          </w:rPr>
        </w:pPr>
        <w:r>
          <w:fldChar w:fldCharType="begin"/>
        </w:r>
        <w:r>
          <w:instrText xml:space="preserve"> PAGE   \* MERGEFORMAT </w:instrText>
        </w:r>
        <w:r>
          <w:fldChar w:fldCharType="separate"/>
        </w:r>
        <w:r w:rsidR="00725505">
          <w:rPr>
            <w:noProof/>
          </w:rPr>
          <w:t>3</w:t>
        </w:r>
        <w:r>
          <w:rPr>
            <w:noProof/>
          </w:rPr>
          <w:fldChar w:fldCharType="end"/>
        </w:r>
      </w:p>
      <w:p w14:paraId="4EB467D7" w14:textId="636046AC" w:rsidR="00834B9A" w:rsidRDefault="00EF2FD4" w:rsidP="00916522">
        <w:pPr>
          <w:pStyle w:val="Footer"/>
          <w:jc w:val="right"/>
        </w:pPr>
        <w:r>
          <w:rPr>
            <w:noProof/>
          </w:rPr>
          <w:t>September 4</w:t>
        </w:r>
        <w:r w:rsidR="00F92B16">
          <w:rPr>
            <w:noProof/>
          </w:rPr>
          <w:t>, 2018</w:t>
        </w:r>
      </w:p>
    </w:sdtContent>
  </w:sdt>
  <w:p w14:paraId="4EB467D8"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20AB6" w14:textId="77777777" w:rsidR="008854ED" w:rsidRDefault="008854ED">
      <w:r>
        <w:separator/>
      </w:r>
    </w:p>
  </w:footnote>
  <w:footnote w:type="continuationSeparator" w:id="0">
    <w:p w14:paraId="7C566578" w14:textId="77777777" w:rsidR="008854ED" w:rsidRDefault="0088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7AEA" w14:textId="77777777" w:rsidR="0036252D" w:rsidRDefault="0036252D" w:rsidP="005D6493">
    <w:pPr>
      <w:pStyle w:val="Header"/>
      <w:ind w:right="1440"/>
      <w:jc w:val="center"/>
      <w:rPr>
        <w:rFonts w:asciiTheme="minorHAnsi" w:hAnsiTheme="minorHAnsi"/>
        <w:sz w:val="32"/>
      </w:rPr>
    </w:pPr>
    <w:r>
      <w:rPr>
        <w:rFonts w:asciiTheme="minorHAnsi" w:hAnsiTheme="minorHAnsi"/>
        <w:sz w:val="32"/>
      </w:rPr>
      <w:t>NAF Accounting Working Group</w:t>
    </w:r>
  </w:p>
  <w:p w14:paraId="4EB467D4" w14:textId="7E701F8C" w:rsidR="00834B9A" w:rsidRDefault="00586697" w:rsidP="005D6493">
    <w:pPr>
      <w:pStyle w:val="Header"/>
      <w:ind w:right="1440"/>
      <w:jc w:val="center"/>
      <w:rPr>
        <w:rFonts w:asciiTheme="minorHAnsi" w:hAnsiTheme="minorHAnsi"/>
        <w:sz w:val="32"/>
      </w:rPr>
    </w:pPr>
    <w:r>
      <w:rPr>
        <w:rFonts w:asciiTheme="minorHAnsi" w:hAnsiTheme="minorHAnsi"/>
        <w:sz w:val="32"/>
      </w:rPr>
      <w:t>Credit Card Receivables</w:t>
    </w:r>
  </w:p>
  <w:p w14:paraId="4EB467D5" w14:textId="2E773512" w:rsidR="00834B9A" w:rsidRPr="00437683" w:rsidRDefault="002639C0" w:rsidP="005D6493">
    <w:pPr>
      <w:pStyle w:val="Header"/>
      <w:tabs>
        <w:tab w:val="left" w:pos="1830"/>
        <w:tab w:val="center" w:pos="5485"/>
      </w:tabs>
      <w:ind w:right="1440"/>
      <w:rPr>
        <w:rFonts w:asciiTheme="minorHAnsi" w:hAnsiTheme="minorHAnsi"/>
        <w:sz w:val="32"/>
      </w:rPr>
    </w:pPr>
    <w:r>
      <w:rPr>
        <w:rFonts w:asciiTheme="minorHAnsi" w:hAnsiTheme="minorHAnsi"/>
        <w:sz w:val="32"/>
      </w:rPr>
      <w:tab/>
    </w:r>
    <w:r>
      <w:rPr>
        <w:rFonts w:asciiTheme="minorHAnsi" w:hAnsiTheme="minorHAnsi"/>
        <w:sz w:val="32"/>
      </w:rPr>
      <w:tab/>
    </w:r>
    <w:r w:rsidR="00D5136F">
      <w:rPr>
        <w:rFonts w:asciiTheme="minorHAnsi" w:hAnsiTheme="minorHAnsi"/>
        <w:sz w:val="32"/>
      </w:rPr>
      <w:t>Position</w:t>
    </w:r>
    <w:r w:rsidR="00D0530D">
      <w:rPr>
        <w:rFonts w:asciiTheme="minorHAnsi" w:hAnsiTheme="minorHAnsi"/>
        <w:sz w:val="32"/>
      </w:rPr>
      <w:t xml:space="preserve"> </w:t>
    </w:r>
    <w:r w:rsidR="00312A74">
      <w:rPr>
        <w:rFonts w:asciiTheme="minorHAnsi" w:hAnsiTheme="minorHAnsi"/>
        <w:sz w:val="32"/>
      </w:rPr>
      <w:t>Paper</w:t>
    </w:r>
    <w:r w:rsidR="0036252D">
      <w:rPr>
        <w:rFonts w:asciiTheme="minorHAnsi" w:hAnsiTheme="minorHAnsi"/>
        <w:sz w:val="32"/>
      </w:rPr>
      <w:t xml:space="preserve"> #8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7E87431"/>
    <w:multiLevelType w:val="hybridMultilevel"/>
    <w:tmpl w:val="752CA320"/>
    <w:lvl w:ilvl="0" w:tplc="2D8A5CCE">
      <w:start w:val="115"/>
      <w:numFmt w:val="decimal"/>
      <w:lvlText w:val="%1."/>
      <w:lvlJc w:val="left"/>
      <w:pPr>
        <w:ind w:left="115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6"/>
  </w:num>
  <w:num w:numId="4">
    <w:abstractNumId w:val="3"/>
  </w:num>
  <w:num w:numId="5">
    <w:abstractNumId w:val="2"/>
  </w:num>
  <w:num w:numId="6">
    <w:abstractNumId w:val="1"/>
  </w:num>
  <w:num w:numId="7">
    <w:abstractNumId w:val="0"/>
  </w:num>
  <w:num w:numId="8">
    <w:abstractNumId w:val="9"/>
  </w:num>
  <w:num w:numId="9">
    <w:abstractNumId w:val="16"/>
  </w:num>
  <w:num w:numId="10">
    <w:abstractNumId w:val="14"/>
  </w:num>
  <w:num w:numId="11">
    <w:abstractNumId w:val="12"/>
  </w:num>
  <w:num w:numId="12">
    <w:abstractNumId w:val="15"/>
  </w:num>
  <w:num w:numId="13">
    <w:abstractNumId w:val="8"/>
  </w:num>
  <w:num w:numId="14">
    <w:abstractNumId w:val="11"/>
  </w:num>
  <w:num w:numId="15">
    <w:abstractNumId w:val="18"/>
  </w:num>
  <w:num w:numId="16">
    <w:abstractNumId w:val="5"/>
  </w:num>
  <w:num w:numId="17">
    <w:abstractNumId w:val="13"/>
  </w:num>
  <w:num w:numId="18">
    <w:abstractNumId w:val="27"/>
  </w:num>
  <w:num w:numId="19">
    <w:abstractNumId w:val="24"/>
  </w:num>
  <w:num w:numId="20">
    <w:abstractNumId w:val="17"/>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5"/>
  </w:num>
  <w:num w:numId="25">
    <w:abstractNumId w:val="10"/>
  </w:num>
  <w:num w:numId="26">
    <w:abstractNumId w:val="19"/>
  </w:num>
  <w:num w:numId="27">
    <w:abstractNumId w:val="20"/>
  </w:num>
  <w:num w:numId="28">
    <w:abstractNumId w:val="23"/>
  </w:num>
  <w:num w:numId="2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48C5"/>
    <w:rsid w:val="00006441"/>
    <w:rsid w:val="00026805"/>
    <w:rsid w:val="00035ACF"/>
    <w:rsid w:val="00054CDA"/>
    <w:rsid w:val="00064594"/>
    <w:rsid w:val="00074688"/>
    <w:rsid w:val="00074A55"/>
    <w:rsid w:val="000823F9"/>
    <w:rsid w:val="0008612D"/>
    <w:rsid w:val="0009688F"/>
    <w:rsid w:val="000B3111"/>
    <w:rsid w:val="000B436F"/>
    <w:rsid w:val="000C29FC"/>
    <w:rsid w:val="000C2E9A"/>
    <w:rsid w:val="000C3441"/>
    <w:rsid w:val="000C78FF"/>
    <w:rsid w:val="000C7B49"/>
    <w:rsid w:val="000D2B3E"/>
    <w:rsid w:val="000E029A"/>
    <w:rsid w:val="000E43D8"/>
    <w:rsid w:val="000E4F6D"/>
    <w:rsid w:val="000F4AF0"/>
    <w:rsid w:val="000F700D"/>
    <w:rsid w:val="0012715F"/>
    <w:rsid w:val="00131C7C"/>
    <w:rsid w:val="00156EF7"/>
    <w:rsid w:val="00171B64"/>
    <w:rsid w:val="001A6927"/>
    <w:rsid w:val="001C1C84"/>
    <w:rsid w:val="001D1FE2"/>
    <w:rsid w:val="001D40C4"/>
    <w:rsid w:val="001E45B8"/>
    <w:rsid w:val="001E60EE"/>
    <w:rsid w:val="001E6F57"/>
    <w:rsid w:val="001F06DE"/>
    <w:rsid w:val="001F20AE"/>
    <w:rsid w:val="00200A58"/>
    <w:rsid w:val="00202660"/>
    <w:rsid w:val="00205006"/>
    <w:rsid w:val="00213D94"/>
    <w:rsid w:val="002208F1"/>
    <w:rsid w:val="00235DD8"/>
    <w:rsid w:val="00236C06"/>
    <w:rsid w:val="00244470"/>
    <w:rsid w:val="002453C4"/>
    <w:rsid w:val="002479EF"/>
    <w:rsid w:val="00250B79"/>
    <w:rsid w:val="00254FC0"/>
    <w:rsid w:val="00256CC7"/>
    <w:rsid w:val="00257D56"/>
    <w:rsid w:val="002639C0"/>
    <w:rsid w:val="0027260E"/>
    <w:rsid w:val="00277DC7"/>
    <w:rsid w:val="00281D8A"/>
    <w:rsid w:val="002A51E3"/>
    <w:rsid w:val="002A5C61"/>
    <w:rsid w:val="002C0344"/>
    <w:rsid w:val="002C131F"/>
    <w:rsid w:val="002E2034"/>
    <w:rsid w:val="002F6648"/>
    <w:rsid w:val="0030084D"/>
    <w:rsid w:val="00305C57"/>
    <w:rsid w:val="0030628A"/>
    <w:rsid w:val="00312147"/>
    <w:rsid w:val="00312A74"/>
    <w:rsid w:val="00334FD3"/>
    <w:rsid w:val="00354D4F"/>
    <w:rsid w:val="0036252D"/>
    <w:rsid w:val="00375E78"/>
    <w:rsid w:val="00384E6C"/>
    <w:rsid w:val="00391BB7"/>
    <w:rsid w:val="003B0A4D"/>
    <w:rsid w:val="003B23B5"/>
    <w:rsid w:val="003B345C"/>
    <w:rsid w:val="003B793A"/>
    <w:rsid w:val="003D05EE"/>
    <w:rsid w:val="003E0276"/>
    <w:rsid w:val="003E28A0"/>
    <w:rsid w:val="003E7371"/>
    <w:rsid w:val="003F016B"/>
    <w:rsid w:val="00422176"/>
    <w:rsid w:val="00437683"/>
    <w:rsid w:val="0044428A"/>
    <w:rsid w:val="00461B46"/>
    <w:rsid w:val="00480D6F"/>
    <w:rsid w:val="004B04B3"/>
    <w:rsid w:val="004C13D3"/>
    <w:rsid w:val="004C5CD8"/>
    <w:rsid w:val="004C60DD"/>
    <w:rsid w:val="004E456D"/>
    <w:rsid w:val="004F6BF2"/>
    <w:rsid w:val="005056DF"/>
    <w:rsid w:val="00505AD6"/>
    <w:rsid w:val="00520CE6"/>
    <w:rsid w:val="00520EF0"/>
    <w:rsid w:val="00531E3B"/>
    <w:rsid w:val="005445C4"/>
    <w:rsid w:val="00556680"/>
    <w:rsid w:val="0056384A"/>
    <w:rsid w:val="00564E9E"/>
    <w:rsid w:val="00574C0D"/>
    <w:rsid w:val="005832BC"/>
    <w:rsid w:val="00586697"/>
    <w:rsid w:val="00593599"/>
    <w:rsid w:val="005A101B"/>
    <w:rsid w:val="005A493E"/>
    <w:rsid w:val="005A6C22"/>
    <w:rsid w:val="005B3096"/>
    <w:rsid w:val="005B36B4"/>
    <w:rsid w:val="005B382E"/>
    <w:rsid w:val="005C4F21"/>
    <w:rsid w:val="005C6106"/>
    <w:rsid w:val="005D4A27"/>
    <w:rsid w:val="005D6493"/>
    <w:rsid w:val="005D7123"/>
    <w:rsid w:val="005F3D8E"/>
    <w:rsid w:val="005F4E22"/>
    <w:rsid w:val="005F5D1F"/>
    <w:rsid w:val="00614C6D"/>
    <w:rsid w:val="00614F7A"/>
    <w:rsid w:val="006167A9"/>
    <w:rsid w:val="00617250"/>
    <w:rsid w:val="006214C7"/>
    <w:rsid w:val="00621BA3"/>
    <w:rsid w:val="006227D6"/>
    <w:rsid w:val="006308EF"/>
    <w:rsid w:val="00634138"/>
    <w:rsid w:val="00634D8E"/>
    <w:rsid w:val="006362E3"/>
    <w:rsid w:val="00655FDE"/>
    <w:rsid w:val="00674186"/>
    <w:rsid w:val="00677C39"/>
    <w:rsid w:val="00680AC5"/>
    <w:rsid w:val="006864BB"/>
    <w:rsid w:val="006959C4"/>
    <w:rsid w:val="006A5955"/>
    <w:rsid w:val="006B07F7"/>
    <w:rsid w:val="006B117D"/>
    <w:rsid w:val="006B75A6"/>
    <w:rsid w:val="006C1360"/>
    <w:rsid w:val="006C4D3D"/>
    <w:rsid w:val="006D2CBF"/>
    <w:rsid w:val="006D6D26"/>
    <w:rsid w:val="007006E4"/>
    <w:rsid w:val="00702014"/>
    <w:rsid w:val="00713DA9"/>
    <w:rsid w:val="00715C51"/>
    <w:rsid w:val="0072194C"/>
    <w:rsid w:val="00721E95"/>
    <w:rsid w:val="00725505"/>
    <w:rsid w:val="00725A45"/>
    <w:rsid w:val="00753436"/>
    <w:rsid w:val="00757BEE"/>
    <w:rsid w:val="00793390"/>
    <w:rsid w:val="007B2CA1"/>
    <w:rsid w:val="007B4282"/>
    <w:rsid w:val="007C4C86"/>
    <w:rsid w:val="007D3058"/>
    <w:rsid w:val="007E0913"/>
    <w:rsid w:val="007E3B59"/>
    <w:rsid w:val="007F6A23"/>
    <w:rsid w:val="0080326D"/>
    <w:rsid w:val="00804D1D"/>
    <w:rsid w:val="00811031"/>
    <w:rsid w:val="0082211C"/>
    <w:rsid w:val="0082463C"/>
    <w:rsid w:val="00825615"/>
    <w:rsid w:val="00832D4C"/>
    <w:rsid w:val="00834B9A"/>
    <w:rsid w:val="00835D15"/>
    <w:rsid w:val="00841891"/>
    <w:rsid w:val="00850E2C"/>
    <w:rsid w:val="00852416"/>
    <w:rsid w:val="008612FE"/>
    <w:rsid w:val="00884B99"/>
    <w:rsid w:val="008854ED"/>
    <w:rsid w:val="008975EF"/>
    <w:rsid w:val="008A3F93"/>
    <w:rsid w:val="008A6680"/>
    <w:rsid w:val="008C2E4C"/>
    <w:rsid w:val="008C3E22"/>
    <w:rsid w:val="008F6A11"/>
    <w:rsid w:val="00903A0C"/>
    <w:rsid w:val="00916522"/>
    <w:rsid w:val="009176E5"/>
    <w:rsid w:val="009178E1"/>
    <w:rsid w:val="00921781"/>
    <w:rsid w:val="00922BDE"/>
    <w:rsid w:val="00922CE3"/>
    <w:rsid w:val="00931310"/>
    <w:rsid w:val="009321A5"/>
    <w:rsid w:val="0093411F"/>
    <w:rsid w:val="009347F4"/>
    <w:rsid w:val="0093576F"/>
    <w:rsid w:val="00936310"/>
    <w:rsid w:val="009365BD"/>
    <w:rsid w:val="0093757F"/>
    <w:rsid w:val="00951C84"/>
    <w:rsid w:val="00962760"/>
    <w:rsid w:val="00963CF5"/>
    <w:rsid w:val="009728E5"/>
    <w:rsid w:val="0099726B"/>
    <w:rsid w:val="009B373B"/>
    <w:rsid w:val="009C0DE8"/>
    <w:rsid w:val="009C50A3"/>
    <w:rsid w:val="009C5348"/>
    <w:rsid w:val="009E3EAC"/>
    <w:rsid w:val="009E5112"/>
    <w:rsid w:val="00A07E9F"/>
    <w:rsid w:val="00A13276"/>
    <w:rsid w:val="00A351E8"/>
    <w:rsid w:val="00A40E24"/>
    <w:rsid w:val="00A4393C"/>
    <w:rsid w:val="00A533AA"/>
    <w:rsid w:val="00A630E9"/>
    <w:rsid w:val="00A64C29"/>
    <w:rsid w:val="00A7516A"/>
    <w:rsid w:val="00A80017"/>
    <w:rsid w:val="00A86750"/>
    <w:rsid w:val="00A868E1"/>
    <w:rsid w:val="00AA5A55"/>
    <w:rsid w:val="00AC06AF"/>
    <w:rsid w:val="00AC2CD2"/>
    <w:rsid w:val="00AC54D9"/>
    <w:rsid w:val="00AC63DC"/>
    <w:rsid w:val="00AD192A"/>
    <w:rsid w:val="00AD5984"/>
    <w:rsid w:val="00B12B96"/>
    <w:rsid w:val="00B137AE"/>
    <w:rsid w:val="00B13DC6"/>
    <w:rsid w:val="00B15549"/>
    <w:rsid w:val="00B32748"/>
    <w:rsid w:val="00B3571B"/>
    <w:rsid w:val="00B410EB"/>
    <w:rsid w:val="00B426FF"/>
    <w:rsid w:val="00B477AC"/>
    <w:rsid w:val="00B506B3"/>
    <w:rsid w:val="00B555AF"/>
    <w:rsid w:val="00B63743"/>
    <w:rsid w:val="00B72016"/>
    <w:rsid w:val="00B8124C"/>
    <w:rsid w:val="00B86B42"/>
    <w:rsid w:val="00B90DAD"/>
    <w:rsid w:val="00B936DA"/>
    <w:rsid w:val="00BA2305"/>
    <w:rsid w:val="00BA5A26"/>
    <w:rsid w:val="00BB5F9B"/>
    <w:rsid w:val="00BC03AD"/>
    <w:rsid w:val="00BC370C"/>
    <w:rsid w:val="00BC5E79"/>
    <w:rsid w:val="00BD441B"/>
    <w:rsid w:val="00BD7E80"/>
    <w:rsid w:val="00BE3BAC"/>
    <w:rsid w:val="00BE7657"/>
    <w:rsid w:val="00BF1BDE"/>
    <w:rsid w:val="00BF37CB"/>
    <w:rsid w:val="00C05FE2"/>
    <w:rsid w:val="00C06A41"/>
    <w:rsid w:val="00C13275"/>
    <w:rsid w:val="00C20748"/>
    <w:rsid w:val="00C26B8F"/>
    <w:rsid w:val="00C26E0E"/>
    <w:rsid w:val="00C460F9"/>
    <w:rsid w:val="00C46895"/>
    <w:rsid w:val="00C55B6E"/>
    <w:rsid w:val="00C57363"/>
    <w:rsid w:val="00C61361"/>
    <w:rsid w:val="00C6570E"/>
    <w:rsid w:val="00C67082"/>
    <w:rsid w:val="00C670E0"/>
    <w:rsid w:val="00C74212"/>
    <w:rsid w:val="00C910A7"/>
    <w:rsid w:val="00C91D86"/>
    <w:rsid w:val="00C92A90"/>
    <w:rsid w:val="00CA14CA"/>
    <w:rsid w:val="00CA44C4"/>
    <w:rsid w:val="00CB2C1B"/>
    <w:rsid w:val="00CB43EB"/>
    <w:rsid w:val="00CC113F"/>
    <w:rsid w:val="00CD6B36"/>
    <w:rsid w:val="00CE3032"/>
    <w:rsid w:val="00CE3414"/>
    <w:rsid w:val="00CE370F"/>
    <w:rsid w:val="00CE39FF"/>
    <w:rsid w:val="00CF260A"/>
    <w:rsid w:val="00CF293F"/>
    <w:rsid w:val="00D021B1"/>
    <w:rsid w:val="00D0530D"/>
    <w:rsid w:val="00D12F3F"/>
    <w:rsid w:val="00D1410C"/>
    <w:rsid w:val="00D37F78"/>
    <w:rsid w:val="00D5136F"/>
    <w:rsid w:val="00D53D16"/>
    <w:rsid w:val="00D54911"/>
    <w:rsid w:val="00D71125"/>
    <w:rsid w:val="00D71751"/>
    <w:rsid w:val="00D853CE"/>
    <w:rsid w:val="00D952E5"/>
    <w:rsid w:val="00DA6C4D"/>
    <w:rsid w:val="00DC1E9B"/>
    <w:rsid w:val="00DD5DC6"/>
    <w:rsid w:val="00DE1F78"/>
    <w:rsid w:val="00DE346C"/>
    <w:rsid w:val="00DE3F6D"/>
    <w:rsid w:val="00DF662C"/>
    <w:rsid w:val="00E17AAF"/>
    <w:rsid w:val="00E21DE5"/>
    <w:rsid w:val="00E360CB"/>
    <w:rsid w:val="00E45173"/>
    <w:rsid w:val="00E46EBA"/>
    <w:rsid w:val="00E542AF"/>
    <w:rsid w:val="00E55085"/>
    <w:rsid w:val="00E61C20"/>
    <w:rsid w:val="00E623E9"/>
    <w:rsid w:val="00E64F72"/>
    <w:rsid w:val="00E749D0"/>
    <w:rsid w:val="00E80C75"/>
    <w:rsid w:val="00E82A4B"/>
    <w:rsid w:val="00E86CD3"/>
    <w:rsid w:val="00E90A82"/>
    <w:rsid w:val="00E96F04"/>
    <w:rsid w:val="00ED6A35"/>
    <w:rsid w:val="00EE0D2D"/>
    <w:rsid w:val="00EE34EB"/>
    <w:rsid w:val="00EF04BB"/>
    <w:rsid w:val="00EF2FD4"/>
    <w:rsid w:val="00F056D3"/>
    <w:rsid w:val="00F05EBE"/>
    <w:rsid w:val="00F07668"/>
    <w:rsid w:val="00F07B6D"/>
    <w:rsid w:val="00F21151"/>
    <w:rsid w:val="00F26CD1"/>
    <w:rsid w:val="00F44314"/>
    <w:rsid w:val="00F44666"/>
    <w:rsid w:val="00F45570"/>
    <w:rsid w:val="00F47B9A"/>
    <w:rsid w:val="00F55B46"/>
    <w:rsid w:val="00F56DC3"/>
    <w:rsid w:val="00F57187"/>
    <w:rsid w:val="00F61A99"/>
    <w:rsid w:val="00F6431F"/>
    <w:rsid w:val="00F706B0"/>
    <w:rsid w:val="00F92B16"/>
    <w:rsid w:val="00FA723B"/>
    <w:rsid w:val="00FA77F1"/>
    <w:rsid w:val="00FB70DD"/>
    <w:rsid w:val="00FC20BB"/>
    <w:rsid w:val="00FC64A5"/>
    <w:rsid w:val="00FC70BD"/>
    <w:rsid w:val="00FD3716"/>
    <w:rsid w:val="00FD71DA"/>
    <w:rsid w:val="00FE0246"/>
    <w:rsid w:val="00FE3532"/>
    <w:rsid w:val="00FE6CFD"/>
    <w:rsid w:val="00FF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B46774"/>
  <w15:docId w15:val="{B6C5A362-529D-4EFF-8D24-BFB76FE3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rsid w:val="00DD5DC6"/>
    <w:rPr>
      <w:rFonts w:ascii="Consolas" w:hAnsi="Consolas"/>
      <w:sz w:val="21"/>
      <w:szCs w:val="21"/>
    </w:rPr>
  </w:style>
  <w:style w:type="character" w:customStyle="1" w:styleId="PlainTextChar">
    <w:name w:val="Plain Text Char"/>
    <w:basedOn w:val="DefaultParagraphFont"/>
    <w:link w:val="PlainText"/>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armleftmargin000">
    <w:name w:val="arm_leftmargin_000"/>
    <w:basedOn w:val="Normal"/>
    <w:rsid w:val="00035ACF"/>
    <w:pPr>
      <w:spacing w:after="240"/>
    </w:pPr>
    <w:rPr>
      <w:rFonts w:ascii="Times New Roman" w:hAnsi="Times New Roman" w:cs="Times New Roman"/>
      <w:sz w:val="24"/>
      <w:szCs w:val="24"/>
    </w:rPr>
  </w:style>
  <w:style w:type="character" w:customStyle="1" w:styleId="showsources3">
    <w:name w:val="showsources3"/>
    <w:basedOn w:val="DefaultParagraphFont"/>
    <w:rsid w:val="00035ACF"/>
  </w:style>
  <w:style w:type="paragraph" w:customStyle="1" w:styleId="armleftmargin025">
    <w:name w:val="arm_leftmargin_025"/>
    <w:basedOn w:val="Normal"/>
    <w:rsid w:val="00035ACF"/>
    <w:pPr>
      <w:spacing w:after="240"/>
    </w:pPr>
    <w:rPr>
      <w:rFonts w:ascii="Times New Roman" w:hAnsi="Times New Roman" w:cs="Times New Roman"/>
      <w:sz w:val="24"/>
      <w:szCs w:val="24"/>
    </w:rPr>
  </w:style>
  <w:style w:type="paragraph" w:customStyle="1" w:styleId="armleftmargin050">
    <w:name w:val="arm_leftmargin_050"/>
    <w:basedOn w:val="Normal"/>
    <w:rsid w:val="00035ACF"/>
    <w:pPr>
      <w:spacing w:after="24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1149514779">
      <w:bodyDiv w:val="1"/>
      <w:marLeft w:val="0"/>
      <w:marRight w:val="0"/>
      <w:marTop w:val="0"/>
      <w:marBottom w:val="0"/>
      <w:divBdr>
        <w:top w:val="none" w:sz="0" w:space="0" w:color="auto"/>
        <w:left w:val="none" w:sz="0" w:space="0" w:color="auto"/>
        <w:bottom w:val="none" w:sz="0" w:space="0" w:color="auto"/>
        <w:right w:val="none" w:sz="0" w:space="0" w:color="auto"/>
      </w:divBdr>
      <w:divsChild>
        <w:div w:id="122120491">
          <w:marLeft w:val="0"/>
          <w:marRight w:val="0"/>
          <w:marTop w:val="0"/>
          <w:marBottom w:val="0"/>
          <w:divBdr>
            <w:top w:val="none" w:sz="0" w:space="0" w:color="auto"/>
            <w:left w:val="none" w:sz="0" w:space="0" w:color="auto"/>
            <w:bottom w:val="none" w:sz="0" w:space="0" w:color="auto"/>
            <w:right w:val="none" w:sz="0" w:space="0" w:color="auto"/>
          </w:divBdr>
          <w:divsChild>
            <w:div w:id="796294466">
              <w:marLeft w:val="0"/>
              <w:marRight w:val="0"/>
              <w:marTop w:val="0"/>
              <w:marBottom w:val="0"/>
              <w:divBdr>
                <w:top w:val="none" w:sz="0" w:space="0" w:color="auto"/>
                <w:left w:val="none" w:sz="0" w:space="0" w:color="auto"/>
                <w:bottom w:val="none" w:sz="0" w:space="0" w:color="auto"/>
                <w:right w:val="none" w:sz="0" w:space="0" w:color="auto"/>
              </w:divBdr>
              <w:divsChild>
                <w:div w:id="1706058640">
                  <w:marLeft w:val="0"/>
                  <w:marRight w:val="0"/>
                  <w:marTop w:val="0"/>
                  <w:marBottom w:val="0"/>
                  <w:divBdr>
                    <w:top w:val="none" w:sz="0" w:space="0" w:color="auto"/>
                    <w:left w:val="none" w:sz="0" w:space="0" w:color="auto"/>
                    <w:bottom w:val="none" w:sz="0" w:space="0" w:color="auto"/>
                    <w:right w:val="none" w:sz="0" w:space="0" w:color="auto"/>
                  </w:divBdr>
                  <w:divsChild>
                    <w:div w:id="1683580417">
                      <w:marLeft w:val="-150"/>
                      <w:marRight w:val="-150"/>
                      <w:marTop w:val="0"/>
                      <w:marBottom w:val="0"/>
                      <w:divBdr>
                        <w:top w:val="none" w:sz="0" w:space="0" w:color="auto"/>
                        <w:left w:val="none" w:sz="0" w:space="0" w:color="auto"/>
                        <w:bottom w:val="none" w:sz="0" w:space="0" w:color="auto"/>
                        <w:right w:val="none" w:sz="0" w:space="0" w:color="auto"/>
                      </w:divBdr>
                      <w:divsChild>
                        <w:div w:id="1076053737">
                          <w:marLeft w:val="0"/>
                          <w:marRight w:val="0"/>
                          <w:marTop w:val="0"/>
                          <w:marBottom w:val="0"/>
                          <w:divBdr>
                            <w:top w:val="none" w:sz="0" w:space="0" w:color="auto"/>
                            <w:left w:val="none" w:sz="0" w:space="0" w:color="auto"/>
                            <w:bottom w:val="none" w:sz="0" w:space="0" w:color="auto"/>
                            <w:right w:val="none" w:sz="0" w:space="0" w:color="auto"/>
                          </w:divBdr>
                          <w:divsChild>
                            <w:div w:id="837228153">
                              <w:marLeft w:val="0"/>
                              <w:marRight w:val="0"/>
                              <w:marTop w:val="0"/>
                              <w:marBottom w:val="0"/>
                              <w:divBdr>
                                <w:top w:val="none" w:sz="0" w:space="0" w:color="auto"/>
                                <w:left w:val="none" w:sz="0" w:space="0" w:color="auto"/>
                                <w:bottom w:val="none" w:sz="0" w:space="0" w:color="auto"/>
                                <w:right w:val="none" w:sz="0" w:space="0" w:color="auto"/>
                              </w:divBdr>
                              <w:divsChild>
                                <w:div w:id="1855726836">
                                  <w:marLeft w:val="0"/>
                                  <w:marRight w:val="0"/>
                                  <w:marTop w:val="0"/>
                                  <w:marBottom w:val="0"/>
                                  <w:divBdr>
                                    <w:top w:val="none" w:sz="0" w:space="0" w:color="auto"/>
                                    <w:left w:val="none" w:sz="0" w:space="0" w:color="auto"/>
                                    <w:bottom w:val="none" w:sz="0" w:space="0" w:color="auto"/>
                                    <w:right w:val="none" w:sz="0" w:space="0" w:color="auto"/>
                                  </w:divBdr>
                                  <w:divsChild>
                                    <w:div w:id="493960529">
                                      <w:marLeft w:val="0"/>
                                      <w:marRight w:val="0"/>
                                      <w:marTop w:val="0"/>
                                      <w:marBottom w:val="0"/>
                                      <w:divBdr>
                                        <w:top w:val="none" w:sz="0" w:space="0" w:color="auto"/>
                                        <w:left w:val="none" w:sz="0" w:space="0" w:color="auto"/>
                                        <w:bottom w:val="none" w:sz="0" w:space="0" w:color="auto"/>
                                        <w:right w:val="none" w:sz="0" w:space="0" w:color="auto"/>
                                      </w:divBdr>
                                      <w:divsChild>
                                        <w:div w:id="1068653378">
                                          <w:marLeft w:val="0"/>
                                          <w:marRight w:val="0"/>
                                          <w:marTop w:val="0"/>
                                          <w:marBottom w:val="0"/>
                                          <w:divBdr>
                                            <w:top w:val="none" w:sz="0" w:space="0" w:color="auto"/>
                                            <w:left w:val="none" w:sz="0" w:space="0" w:color="auto"/>
                                            <w:bottom w:val="none" w:sz="0" w:space="0" w:color="auto"/>
                                            <w:right w:val="none" w:sz="0" w:space="0" w:color="auto"/>
                                          </w:divBdr>
                                          <w:divsChild>
                                            <w:div w:id="355618596">
                                              <w:marLeft w:val="0"/>
                                              <w:marRight w:val="0"/>
                                              <w:marTop w:val="0"/>
                                              <w:marBottom w:val="0"/>
                                              <w:divBdr>
                                                <w:top w:val="none" w:sz="0" w:space="0" w:color="auto"/>
                                                <w:left w:val="none" w:sz="0" w:space="0" w:color="auto"/>
                                                <w:bottom w:val="none" w:sz="0" w:space="0" w:color="auto"/>
                                                <w:right w:val="none" w:sz="0" w:space="0" w:color="auto"/>
                                              </w:divBdr>
                                              <w:divsChild>
                                                <w:div w:id="729962202">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sChild>
                                                        <w:div w:id="6397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65056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9">
          <w:marLeft w:val="0"/>
          <w:marRight w:val="0"/>
          <w:marTop w:val="0"/>
          <w:marBottom w:val="0"/>
          <w:divBdr>
            <w:top w:val="none" w:sz="0" w:space="0" w:color="auto"/>
            <w:left w:val="none" w:sz="0" w:space="0" w:color="auto"/>
            <w:bottom w:val="none" w:sz="0" w:space="0" w:color="auto"/>
            <w:right w:val="none" w:sz="0" w:space="0" w:color="auto"/>
          </w:divBdr>
          <w:divsChild>
            <w:div w:id="747964840">
              <w:marLeft w:val="0"/>
              <w:marRight w:val="0"/>
              <w:marTop w:val="0"/>
              <w:marBottom w:val="0"/>
              <w:divBdr>
                <w:top w:val="none" w:sz="0" w:space="0" w:color="auto"/>
                <w:left w:val="none" w:sz="0" w:space="0" w:color="auto"/>
                <w:bottom w:val="none" w:sz="0" w:space="0" w:color="auto"/>
                <w:right w:val="none" w:sz="0" w:space="0" w:color="auto"/>
              </w:divBdr>
              <w:divsChild>
                <w:div w:id="1746300450">
                  <w:marLeft w:val="0"/>
                  <w:marRight w:val="0"/>
                  <w:marTop w:val="0"/>
                  <w:marBottom w:val="0"/>
                  <w:divBdr>
                    <w:top w:val="none" w:sz="0" w:space="0" w:color="auto"/>
                    <w:left w:val="none" w:sz="0" w:space="0" w:color="auto"/>
                    <w:bottom w:val="none" w:sz="0" w:space="0" w:color="auto"/>
                    <w:right w:val="none" w:sz="0" w:space="0" w:color="auto"/>
                  </w:divBdr>
                  <w:divsChild>
                    <w:div w:id="765543755">
                      <w:marLeft w:val="-150"/>
                      <w:marRight w:val="-150"/>
                      <w:marTop w:val="0"/>
                      <w:marBottom w:val="0"/>
                      <w:divBdr>
                        <w:top w:val="none" w:sz="0" w:space="0" w:color="auto"/>
                        <w:left w:val="none" w:sz="0" w:space="0" w:color="auto"/>
                        <w:bottom w:val="none" w:sz="0" w:space="0" w:color="auto"/>
                        <w:right w:val="none" w:sz="0" w:space="0" w:color="auto"/>
                      </w:divBdr>
                      <w:divsChild>
                        <w:div w:id="569192412">
                          <w:marLeft w:val="0"/>
                          <w:marRight w:val="0"/>
                          <w:marTop w:val="0"/>
                          <w:marBottom w:val="0"/>
                          <w:divBdr>
                            <w:top w:val="none" w:sz="0" w:space="0" w:color="auto"/>
                            <w:left w:val="none" w:sz="0" w:space="0" w:color="auto"/>
                            <w:bottom w:val="none" w:sz="0" w:space="0" w:color="auto"/>
                            <w:right w:val="none" w:sz="0" w:space="0" w:color="auto"/>
                          </w:divBdr>
                          <w:divsChild>
                            <w:div w:id="1881940675">
                              <w:marLeft w:val="0"/>
                              <w:marRight w:val="0"/>
                              <w:marTop w:val="0"/>
                              <w:marBottom w:val="0"/>
                              <w:divBdr>
                                <w:top w:val="none" w:sz="0" w:space="0" w:color="auto"/>
                                <w:left w:val="none" w:sz="0" w:space="0" w:color="auto"/>
                                <w:bottom w:val="none" w:sz="0" w:space="0" w:color="auto"/>
                                <w:right w:val="none" w:sz="0" w:space="0" w:color="auto"/>
                              </w:divBdr>
                              <w:divsChild>
                                <w:div w:id="321156744">
                                  <w:marLeft w:val="0"/>
                                  <w:marRight w:val="0"/>
                                  <w:marTop w:val="0"/>
                                  <w:marBottom w:val="0"/>
                                  <w:divBdr>
                                    <w:top w:val="none" w:sz="0" w:space="0" w:color="auto"/>
                                    <w:left w:val="none" w:sz="0" w:space="0" w:color="auto"/>
                                    <w:bottom w:val="none" w:sz="0" w:space="0" w:color="auto"/>
                                    <w:right w:val="none" w:sz="0" w:space="0" w:color="auto"/>
                                  </w:divBdr>
                                  <w:divsChild>
                                    <w:div w:id="1794128310">
                                      <w:marLeft w:val="0"/>
                                      <w:marRight w:val="0"/>
                                      <w:marTop w:val="0"/>
                                      <w:marBottom w:val="0"/>
                                      <w:divBdr>
                                        <w:top w:val="none" w:sz="0" w:space="0" w:color="auto"/>
                                        <w:left w:val="none" w:sz="0" w:space="0" w:color="auto"/>
                                        <w:bottom w:val="none" w:sz="0" w:space="0" w:color="auto"/>
                                        <w:right w:val="none" w:sz="0" w:space="0" w:color="auto"/>
                                      </w:divBdr>
                                      <w:divsChild>
                                        <w:div w:id="1037782364">
                                          <w:marLeft w:val="0"/>
                                          <w:marRight w:val="0"/>
                                          <w:marTop w:val="0"/>
                                          <w:marBottom w:val="0"/>
                                          <w:divBdr>
                                            <w:top w:val="none" w:sz="0" w:space="0" w:color="auto"/>
                                            <w:left w:val="none" w:sz="0" w:space="0" w:color="auto"/>
                                            <w:bottom w:val="none" w:sz="0" w:space="0" w:color="auto"/>
                                            <w:right w:val="none" w:sz="0" w:space="0" w:color="auto"/>
                                          </w:divBdr>
                                          <w:divsChild>
                                            <w:div w:id="413749929">
                                              <w:marLeft w:val="0"/>
                                              <w:marRight w:val="0"/>
                                              <w:marTop w:val="0"/>
                                              <w:marBottom w:val="0"/>
                                              <w:divBdr>
                                                <w:top w:val="none" w:sz="0" w:space="0" w:color="auto"/>
                                                <w:left w:val="none" w:sz="0" w:space="0" w:color="auto"/>
                                                <w:bottom w:val="none" w:sz="0" w:space="0" w:color="auto"/>
                                                <w:right w:val="none" w:sz="0" w:space="0" w:color="auto"/>
                                              </w:divBdr>
                                              <w:divsChild>
                                                <w:div w:id="407966975">
                                                  <w:marLeft w:val="0"/>
                                                  <w:marRight w:val="0"/>
                                                  <w:marTop w:val="0"/>
                                                  <w:marBottom w:val="0"/>
                                                  <w:divBdr>
                                                    <w:top w:val="none" w:sz="0" w:space="0" w:color="auto"/>
                                                    <w:left w:val="none" w:sz="0" w:space="0" w:color="auto"/>
                                                    <w:bottom w:val="none" w:sz="0" w:space="0" w:color="auto"/>
                                                    <w:right w:val="none" w:sz="0" w:space="0" w:color="auto"/>
                                                  </w:divBdr>
                                                  <w:divsChild>
                                                    <w:div w:id="746269142">
                                                      <w:marLeft w:val="0"/>
                                                      <w:marRight w:val="0"/>
                                                      <w:marTop w:val="0"/>
                                                      <w:marBottom w:val="0"/>
                                                      <w:divBdr>
                                                        <w:top w:val="none" w:sz="0" w:space="0" w:color="auto"/>
                                                        <w:left w:val="none" w:sz="0" w:space="0" w:color="auto"/>
                                                        <w:bottom w:val="none" w:sz="0" w:space="0" w:color="auto"/>
                                                        <w:right w:val="none" w:sz="0" w:space="0" w:color="auto"/>
                                                      </w:divBdr>
                                                      <w:divsChild>
                                                        <w:div w:id="1896161620">
                                                          <w:marLeft w:val="0"/>
                                                          <w:marRight w:val="0"/>
                                                          <w:marTop w:val="0"/>
                                                          <w:marBottom w:val="0"/>
                                                          <w:divBdr>
                                                            <w:top w:val="none" w:sz="0" w:space="0" w:color="auto"/>
                                                            <w:left w:val="none" w:sz="0" w:space="0" w:color="auto"/>
                                                            <w:bottom w:val="none" w:sz="0" w:space="0" w:color="auto"/>
                                                            <w:right w:val="none" w:sz="0" w:space="0" w:color="auto"/>
                                                          </w:divBdr>
                                                          <w:divsChild>
                                                            <w:div w:id="1820272048">
                                                              <w:marLeft w:val="0"/>
                                                              <w:marRight w:val="0"/>
                                                              <w:marTop w:val="0"/>
                                                              <w:marBottom w:val="0"/>
                                                              <w:divBdr>
                                                                <w:top w:val="none" w:sz="0" w:space="0" w:color="auto"/>
                                                                <w:left w:val="none" w:sz="0" w:space="0" w:color="auto"/>
                                                                <w:bottom w:val="none" w:sz="0" w:space="0" w:color="auto"/>
                                                                <w:right w:val="none" w:sz="0" w:space="0" w:color="auto"/>
                                                              </w:divBdr>
                                                              <w:divsChild>
                                                                <w:div w:id="977806488">
                                                                  <w:marLeft w:val="0"/>
                                                                  <w:marRight w:val="0"/>
                                                                  <w:marTop w:val="0"/>
                                                                  <w:marBottom w:val="0"/>
                                                                  <w:divBdr>
                                                                    <w:top w:val="none" w:sz="0" w:space="0" w:color="auto"/>
                                                                    <w:left w:val="none" w:sz="0" w:space="0" w:color="auto"/>
                                                                    <w:bottom w:val="none" w:sz="0" w:space="0" w:color="auto"/>
                                                                    <w:right w:val="none" w:sz="0" w:space="0" w:color="auto"/>
                                                                  </w:divBdr>
                                                                  <w:divsChild>
                                                                    <w:div w:id="572932302">
                                                                      <w:marLeft w:val="0"/>
                                                                      <w:marRight w:val="0"/>
                                                                      <w:marTop w:val="0"/>
                                                                      <w:marBottom w:val="0"/>
                                                                      <w:divBdr>
                                                                        <w:top w:val="none" w:sz="0" w:space="0" w:color="auto"/>
                                                                        <w:left w:val="none" w:sz="0" w:space="0" w:color="auto"/>
                                                                        <w:bottom w:val="none" w:sz="0" w:space="0" w:color="auto"/>
                                                                        <w:right w:val="none" w:sz="0" w:space="0" w:color="auto"/>
                                                                      </w:divBdr>
                                                                      <w:divsChild>
                                                                        <w:div w:id="706221555">
                                                                          <w:marLeft w:val="0"/>
                                                                          <w:marRight w:val="0"/>
                                                                          <w:marTop w:val="0"/>
                                                                          <w:marBottom w:val="0"/>
                                                                          <w:divBdr>
                                                                            <w:top w:val="none" w:sz="0" w:space="0" w:color="auto"/>
                                                                            <w:left w:val="none" w:sz="0" w:space="0" w:color="auto"/>
                                                                            <w:bottom w:val="none" w:sz="0" w:space="0" w:color="auto"/>
                                                                            <w:right w:val="none" w:sz="0" w:space="0" w:color="auto"/>
                                                                          </w:divBdr>
                                                                          <w:divsChild>
                                                                            <w:div w:id="1057514464">
                                                                              <w:marLeft w:val="0"/>
                                                                              <w:marRight w:val="0"/>
                                                                              <w:marTop w:val="0"/>
                                                                              <w:marBottom w:val="0"/>
                                                                              <w:divBdr>
                                                                                <w:top w:val="none" w:sz="0" w:space="0" w:color="auto"/>
                                                                                <w:left w:val="none" w:sz="0" w:space="0" w:color="auto"/>
                                                                                <w:bottom w:val="none" w:sz="0" w:space="0" w:color="auto"/>
                                                                                <w:right w:val="none" w:sz="0" w:space="0" w:color="auto"/>
                                                                              </w:divBdr>
                                                                              <w:divsChild>
                                                                                <w:div w:id="1859074340">
                                                                                  <w:marLeft w:val="0"/>
                                                                                  <w:marRight w:val="0"/>
                                                                                  <w:marTop w:val="0"/>
                                                                                  <w:marBottom w:val="0"/>
                                                                                  <w:divBdr>
                                                                                    <w:top w:val="none" w:sz="0" w:space="0" w:color="auto"/>
                                                                                    <w:left w:val="none" w:sz="0" w:space="0" w:color="auto"/>
                                                                                    <w:bottom w:val="none" w:sz="0" w:space="0" w:color="auto"/>
                                                                                    <w:right w:val="none" w:sz="0" w:space="0" w:color="auto"/>
                                                                                  </w:divBdr>
                                                                                  <w:divsChild>
                                                                                    <w:div w:id="1481115491">
                                                                                      <w:marLeft w:val="0"/>
                                                                                      <w:marRight w:val="0"/>
                                                                                      <w:marTop w:val="0"/>
                                                                                      <w:marBottom w:val="0"/>
                                                                                      <w:divBdr>
                                                                                        <w:top w:val="none" w:sz="0" w:space="0" w:color="auto"/>
                                                                                        <w:left w:val="none" w:sz="0" w:space="0" w:color="auto"/>
                                                                                        <w:bottom w:val="none" w:sz="0" w:space="0" w:color="auto"/>
                                                                                        <w:right w:val="none" w:sz="0" w:space="0" w:color="auto"/>
                                                                                      </w:divBdr>
                                                                                      <w:divsChild>
                                                                                        <w:div w:id="890649720">
                                                                                          <w:marLeft w:val="0"/>
                                                                                          <w:marRight w:val="0"/>
                                                                                          <w:marTop w:val="0"/>
                                                                                          <w:marBottom w:val="0"/>
                                                                                          <w:divBdr>
                                                                                            <w:top w:val="none" w:sz="0" w:space="0" w:color="auto"/>
                                                                                            <w:left w:val="none" w:sz="0" w:space="0" w:color="auto"/>
                                                                                            <w:bottom w:val="none" w:sz="0" w:space="0" w:color="auto"/>
                                                                                            <w:right w:val="none" w:sz="0" w:space="0" w:color="auto"/>
                                                                                          </w:divBdr>
                                                                                          <w:divsChild>
                                                                                            <w:div w:id="44531188">
                                                                                              <w:marLeft w:val="0"/>
                                                                                              <w:marRight w:val="0"/>
                                                                                              <w:marTop w:val="0"/>
                                                                                              <w:marBottom w:val="0"/>
                                                                                              <w:divBdr>
                                                                                                <w:top w:val="none" w:sz="0" w:space="0" w:color="auto"/>
                                                                                                <w:left w:val="none" w:sz="0" w:space="0" w:color="auto"/>
                                                                                                <w:bottom w:val="none" w:sz="0" w:space="0" w:color="auto"/>
                                                                                                <w:right w:val="none" w:sz="0" w:space="0" w:color="auto"/>
                                                                                              </w:divBdr>
                                                                                              <w:divsChild>
                                                                                                <w:div w:id="1224948006">
                                                                                                  <w:marLeft w:val="0"/>
                                                                                                  <w:marRight w:val="0"/>
                                                                                                  <w:marTop w:val="0"/>
                                                                                                  <w:marBottom w:val="0"/>
                                                                                                  <w:divBdr>
                                                                                                    <w:top w:val="none" w:sz="0" w:space="0" w:color="auto"/>
                                                                                                    <w:left w:val="none" w:sz="0" w:space="0" w:color="auto"/>
                                                                                                    <w:bottom w:val="none" w:sz="0" w:space="0" w:color="auto"/>
                                                                                                    <w:right w:val="none" w:sz="0" w:space="0" w:color="auto"/>
                                                                                                  </w:divBdr>
                                                                                                  <w:divsChild>
                                                                                                    <w:div w:id="1899854855">
                                                                                                      <w:marLeft w:val="0"/>
                                                                                                      <w:marRight w:val="0"/>
                                                                                                      <w:marTop w:val="0"/>
                                                                                                      <w:marBottom w:val="0"/>
                                                                                                      <w:divBdr>
                                                                                                        <w:top w:val="none" w:sz="0" w:space="0" w:color="auto"/>
                                                                                                        <w:left w:val="none" w:sz="0" w:space="0" w:color="auto"/>
                                                                                                        <w:bottom w:val="none" w:sz="0" w:space="0" w:color="auto"/>
                                                                                                        <w:right w:val="none" w:sz="0" w:space="0" w:color="auto"/>
                                                                                                      </w:divBdr>
                                                                                                      <w:divsChild>
                                                                                                        <w:div w:id="11592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6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973CC-9313-49EA-BDA5-8DD6D5072076}">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4F41717-2F38-47EC-B66E-03D73C2B23ED}">
  <ds:schemaRefs>
    <ds:schemaRef ds:uri="http://schemas.microsoft.com/sharepoint/v3/contenttype/forms"/>
  </ds:schemaRefs>
</ds:datastoreItem>
</file>

<file path=customXml/itemProps3.xml><?xml version="1.0" encoding="utf-8"?>
<ds:datastoreItem xmlns:ds="http://schemas.openxmlformats.org/officeDocument/2006/customXml" ds:itemID="{9321034B-3B91-43B4-83F7-53D0338AA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418004-2EC7-457C-88FA-F15306090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Susannah</dc:creator>
  <cp:lastModifiedBy>Curtis, Michael R CIV OSD OUSD P-R (US)</cp:lastModifiedBy>
  <cp:revision>2</cp:revision>
  <cp:lastPrinted>2014-10-08T16:46:00Z</cp:lastPrinted>
  <dcterms:created xsi:type="dcterms:W3CDTF">2019-08-20T19:57:00Z</dcterms:created>
  <dcterms:modified xsi:type="dcterms:W3CDTF">2019-08-20T19:57:00Z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